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FD" w:rsidRDefault="00C64CFD" w:rsidP="00C64CFD">
      <w:pPr>
        <w:pStyle w:val="Default"/>
      </w:pPr>
    </w:p>
    <w:p w:rsidR="00976D06" w:rsidRDefault="00976D06" w:rsidP="00C64CFD">
      <w:pPr>
        <w:pStyle w:val="Default"/>
      </w:pPr>
    </w:p>
    <w:p w:rsidR="00C64CFD" w:rsidRPr="00B71A64" w:rsidRDefault="00C64CFD" w:rsidP="00C64CFD">
      <w:pPr>
        <w:pStyle w:val="Default"/>
        <w:rPr>
          <w:color w:val="548DD4" w:themeColor="text2" w:themeTint="99"/>
          <w:sz w:val="22"/>
          <w:szCs w:val="22"/>
        </w:rPr>
      </w:pPr>
      <w:r w:rsidRPr="00B71A64">
        <w:rPr>
          <w:b/>
          <w:bCs/>
          <w:color w:val="548DD4" w:themeColor="text2" w:themeTint="99"/>
          <w:sz w:val="22"/>
          <w:szCs w:val="22"/>
        </w:rPr>
        <w:t xml:space="preserve">CONVOCATORIA DE AYUDAS REDAPSA </w:t>
      </w:r>
    </w:p>
    <w:p w:rsidR="00C64CFD" w:rsidRPr="00B71A64" w:rsidRDefault="00C64CFD" w:rsidP="00C64CFD">
      <w:pPr>
        <w:pStyle w:val="Default"/>
        <w:rPr>
          <w:color w:val="548DD4" w:themeColor="text2" w:themeTint="99"/>
          <w:sz w:val="22"/>
          <w:szCs w:val="22"/>
        </w:rPr>
      </w:pPr>
      <w:r w:rsidRPr="00B71A64">
        <w:rPr>
          <w:b/>
          <w:bCs/>
          <w:color w:val="548DD4" w:themeColor="text2" w:themeTint="99"/>
          <w:sz w:val="22"/>
          <w:szCs w:val="22"/>
        </w:rPr>
        <w:t xml:space="preserve">PARA MOVILIDAD DE ESTUDIANTES Y DOCENTES EN EL MARCO DEL </w:t>
      </w:r>
    </w:p>
    <w:p w:rsidR="00C64CFD" w:rsidRDefault="00C64CFD" w:rsidP="00C64CFD">
      <w:pPr>
        <w:pStyle w:val="Default"/>
        <w:rPr>
          <w:b/>
          <w:bCs/>
          <w:color w:val="548DD4" w:themeColor="text2" w:themeTint="99"/>
          <w:sz w:val="22"/>
          <w:szCs w:val="22"/>
        </w:rPr>
      </w:pPr>
      <w:r w:rsidRPr="00B71A64">
        <w:rPr>
          <w:b/>
          <w:bCs/>
          <w:color w:val="548DD4" w:themeColor="text2" w:themeTint="99"/>
          <w:sz w:val="22"/>
          <w:szCs w:val="22"/>
        </w:rPr>
        <w:t xml:space="preserve">PROGRAMA IBEROAMERICANO DE MOVILIDAD PABLO NERUDA </w:t>
      </w:r>
    </w:p>
    <w:p w:rsidR="00B71A64" w:rsidRPr="00B71A64" w:rsidRDefault="00B71A64" w:rsidP="00C64CFD">
      <w:pPr>
        <w:pStyle w:val="Default"/>
        <w:rPr>
          <w:color w:val="548DD4" w:themeColor="text2" w:themeTint="99"/>
          <w:sz w:val="22"/>
          <w:szCs w:val="22"/>
        </w:rPr>
      </w:pP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Red "Agroalimentación, Producción y Sanidad Animal" (REDAPSA) informa de la convocatoria pública de ayudas tras la aprobación de la segunda edición del Programa Pablo Neruda, Programa Iberoamericano de Movilidad Académica de Postgrado, coordinado y gestionado por la Unidad Técnica Pablo Neruda (UTPN) de la Organización de Estados Iberoamericanos para la Educación, la Ciencia y la Cultura (OEI), </w:t>
      </w:r>
      <w:r w:rsidRPr="00976D06">
        <w:rPr>
          <w:color w:val="auto"/>
          <w:sz w:val="22"/>
          <w:szCs w:val="22"/>
        </w:rPr>
        <w:t>y</w:t>
      </w:r>
      <w:r w:rsidR="00394DDB" w:rsidRPr="00976D06">
        <w:rPr>
          <w:color w:val="auto"/>
          <w:sz w:val="22"/>
          <w:szCs w:val="22"/>
        </w:rPr>
        <w:t xml:space="preserve"> la</w:t>
      </w:r>
      <w:r w:rsidR="00791829" w:rsidRPr="00976D06">
        <w:rPr>
          <w:color w:val="auto"/>
          <w:sz w:val="22"/>
          <w:szCs w:val="22"/>
        </w:rPr>
        <w:t xml:space="preserve"> </w:t>
      </w:r>
      <w:r w:rsidR="00D44FF0" w:rsidRPr="00976D06">
        <w:rPr>
          <w:color w:val="auto"/>
          <w:sz w:val="22"/>
          <w:szCs w:val="22"/>
        </w:rPr>
        <w:t>Fundación Universidad.es.</w:t>
      </w: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En la presente convocatoria, cuyo plazo de ejecución financiera es hasta el 31 de diciembre de 2014, se han concedido movilidades para las siguientes universidades integrantes de la red: </w:t>
      </w:r>
    </w:p>
    <w:p w:rsidR="00C64CFD" w:rsidRDefault="00C64CFD" w:rsidP="00C64CFD">
      <w:pPr>
        <w:pStyle w:val="Default"/>
        <w:spacing w:after="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>UCO</w:t>
      </w:r>
      <w:r>
        <w:rPr>
          <w:color w:val="auto"/>
          <w:sz w:val="22"/>
          <w:szCs w:val="22"/>
        </w:rPr>
        <w:t xml:space="preserve">, Universidad de Córdoba (España) </w:t>
      </w:r>
    </w:p>
    <w:p w:rsidR="00C64CFD" w:rsidRDefault="00C64CFD" w:rsidP="00C64CFD">
      <w:pPr>
        <w:pStyle w:val="Default"/>
        <w:spacing w:after="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>UDELAR</w:t>
      </w:r>
      <w:r>
        <w:rPr>
          <w:color w:val="auto"/>
          <w:sz w:val="22"/>
          <w:szCs w:val="22"/>
        </w:rPr>
        <w:t xml:space="preserve">, Universidad de la República (Uruguay) </w:t>
      </w:r>
    </w:p>
    <w:p w:rsidR="00C64CFD" w:rsidRDefault="00C64CFD" w:rsidP="00C64CFD">
      <w:pPr>
        <w:pStyle w:val="Default"/>
        <w:spacing w:after="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>UHU</w:t>
      </w:r>
      <w:r>
        <w:rPr>
          <w:color w:val="auto"/>
          <w:sz w:val="22"/>
          <w:szCs w:val="22"/>
        </w:rPr>
        <w:t xml:space="preserve">, Universidad de Huelva (España) </w:t>
      </w:r>
    </w:p>
    <w:p w:rsidR="00C64CFD" w:rsidRDefault="00C64CFD" w:rsidP="00C64CFD">
      <w:pPr>
        <w:pStyle w:val="Default"/>
        <w:spacing w:after="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>UJA*</w:t>
      </w:r>
      <w:r>
        <w:rPr>
          <w:color w:val="auto"/>
          <w:sz w:val="22"/>
          <w:szCs w:val="22"/>
        </w:rPr>
        <w:t xml:space="preserve">, Universidad de Jaén (España) (*Nota: sólo receptora) </w:t>
      </w:r>
    </w:p>
    <w:p w:rsidR="00C64CFD" w:rsidRDefault="00C64CFD" w:rsidP="00C64CFD">
      <w:pPr>
        <w:pStyle w:val="Default"/>
        <w:spacing w:after="42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>
        <w:rPr>
          <w:b/>
          <w:bCs/>
          <w:color w:val="auto"/>
          <w:sz w:val="22"/>
          <w:szCs w:val="22"/>
        </w:rPr>
        <w:t>UNC</w:t>
      </w:r>
      <w:r>
        <w:rPr>
          <w:color w:val="auto"/>
          <w:sz w:val="22"/>
          <w:szCs w:val="22"/>
        </w:rPr>
        <w:t xml:space="preserve">, Universidad Nacional de Cajamarca (Perú) </w:t>
      </w: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 </w:t>
      </w:r>
      <w:r w:rsidR="00406A1F">
        <w:rPr>
          <w:b/>
          <w:bCs/>
          <w:color w:val="auto"/>
          <w:sz w:val="22"/>
          <w:szCs w:val="22"/>
        </w:rPr>
        <w:t>UNCPBA</w:t>
      </w:r>
      <w:r>
        <w:rPr>
          <w:color w:val="auto"/>
          <w:sz w:val="22"/>
          <w:szCs w:val="22"/>
        </w:rPr>
        <w:t xml:space="preserve">, Universidad Nacional del Centro de la Provincia de Buenos Aires (Argentina) </w:t>
      </w: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</w:p>
    <w:p w:rsidR="00791829" w:rsidRDefault="00791829" w:rsidP="00C64CFD">
      <w:pPr>
        <w:pStyle w:val="Default"/>
        <w:rPr>
          <w:color w:val="auto"/>
          <w:sz w:val="22"/>
          <w:szCs w:val="22"/>
        </w:rPr>
      </w:pPr>
    </w:p>
    <w:p w:rsidR="004225D3" w:rsidRDefault="00C64CFD" w:rsidP="004225D3">
      <w:pPr>
        <w:pStyle w:val="Default"/>
      </w:pPr>
      <w:r>
        <w:rPr>
          <w:color w:val="auto"/>
          <w:sz w:val="22"/>
          <w:szCs w:val="22"/>
        </w:rPr>
        <w:t xml:space="preserve">La relación de movilidades concedidas a las universidades, como origen y/o destino, se detalla en la tabla recogida en el Anexo III de la presente Convocatoria. </w:t>
      </w:r>
    </w:p>
    <w:p w:rsidR="004225D3" w:rsidRPr="002140E9" w:rsidRDefault="00275DFF" w:rsidP="004225D3">
      <w:pPr>
        <w:pStyle w:val="Default"/>
        <w:rPr>
          <w:color w:val="FF0000"/>
          <w:sz w:val="21"/>
          <w:szCs w:val="21"/>
        </w:rPr>
      </w:pPr>
      <w:hyperlink r:id="rId6" w:history="1">
        <w:r w:rsidR="004225D3" w:rsidRPr="00275DFF">
          <w:rPr>
            <w:rStyle w:val="Hipervnculo"/>
            <w:b/>
            <w:bCs/>
            <w:sz w:val="21"/>
            <w:szCs w:val="21"/>
          </w:rPr>
          <w:t>ANE</w:t>
        </w:r>
        <w:r w:rsidR="004225D3" w:rsidRPr="00275DFF">
          <w:rPr>
            <w:rStyle w:val="Hipervnculo"/>
            <w:b/>
            <w:bCs/>
            <w:sz w:val="21"/>
            <w:szCs w:val="21"/>
          </w:rPr>
          <w:t>X</w:t>
        </w:r>
        <w:r w:rsidR="004225D3" w:rsidRPr="00275DFF">
          <w:rPr>
            <w:rStyle w:val="Hipervnculo"/>
            <w:b/>
            <w:bCs/>
            <w:sz w:val="21"/>
            <w:szCs w:val="21"/>
          </w:rPr>
          <w:t>O III</w:t>
        </w:r>
      </w:hyperlink>
      <w:r w:rsidR="004225D3" w:rsidRPr="002140E9">
        <w:rPr>
          <w:b/>
          <w:bCs/>
          <w:color w:val="FF0000"/>
          <w:sz w:val="21"/>
          <w:szCs w:val="21"/>
        </w:rPr>
        <w:t xml:space="preserve"> </w:t>
      </w:r>
    </w:p>
    <w:p w:rsidR="004225D3" w:rsidRPr="002140E9" w:rsidRDefault="004225D3" w:rsidP="004225D3">
      <w:pPr>
        <w:pStyle w:val="Default"/>
        <w:rPr>
          <w:color w:val="FF0000"/>
          <w:sz w:val="22"/>
          <w:szCs w:val="22"/>
        </w:rPr>
      </w:pPr>
      <w:r w:rsidRPr="002140E9">
        <w:rPr>
          <w:b/>
          <w:bCs/>
          <w:color w:val="FF0000"/>
          <w:sz w:val="22"/>
          <w:szCs w:val="22"/>
        </w:rPr>
        <w:t>MOVILIDADES CONCEDIDAS REDAPSA</w:t>
      </w:r>
    </w:p>
    <w:p w:rsidR="00C64CFD" w:rsidRDefault="00C64CFD" w:rsidP="00C64CFD">
      <w:pPr>
        <w:pStyle w:val="Default"/>
        <w:rPr>
          <w:b/>
          <w:bCs/>
          <w:color w:val="00B050"/>
          <w:sz w:val="22"/>
          <w:szCs w:val="22"/>
        </w:rPr>
      </w:pPr>
      <w:r w:rsidRPr="002140E9">
        <w:rPr>
          <w:b/>
          <w:bCs/>
          <w:color w:val="FF0000"/>
          <w:sz w:val="22"/>
          <w:szCs w:val="22"/>
        </w:rPr>
        <w:t xml:space="preserve">BASES DE LA CONVOCATORIA </w:t>
      </w:r>
    </w:p>
    <w:p w:rsidR="004225D3" w:rsidRDefault="004225D3" w:rsidP="00C64CFD">
      <w:pPr>
        <w:pStyle w:val="Default"/>
        <w:rPr>
          <w:b/>
          <w:bCs/>
          <w:color w:val="00B050"/>
          <w:sz w:val="22"/>
          <w:szCs w:val="22"/>
        </w:rPr>
      </w:pP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</w:t>
      </w:r>
      <w:r>
        <w:rPr>
          <w:b/>
          <w:bCs/>
          <w:color w:val="auto"/>
          <w:sz w:val="22"/>
          <w:szCs w:val="22"/>
        </w:rPr>
        <w:t xml:space="preserve">Objeto de la convocatoria </w:t>
      </w: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El Programa está orientado a fomentar la movilidad de estudiantes, jóvenes investigadores y profesores de programas de postgrado, con el fin de contribuir a la creación de recursos humanos altamente cualificados en áreas consideradas como prioritarias por los países del espacio iberoamericano. </w:t>
      </w: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2. Ámbito y modalidad de la convocatoria </w:t>
      </w: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Las ayudas de movilidad previstas están destinadas a estancias entre </w:t>
      </w:r>
      <w:r w:rsidR="004225D3">
        <w:rPr>
          <w:color w:val="auto"/>
          <w:sz w:val="22"/>
          <w:szCs w:val="22"/>
        </w:rPr>
        <w:t>2</w:t>
      </w:r>
      <w:r>
        <w:rPr>
          <w:color w:val="auto"/>
          <w:sz w:val="22"/>
          <w:szCs w:val="22"/>
        </w:rPr>
        <w:t xml:space="preserve"> a 4 semanas, realizadas en los términos de la convocatoria (ver tabla para dotación específica de cada universidad participante). </w:t>
      </w: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3. Beneficiarios </w:t>
      </w:r>
    </w:p>
    <w:p w:rsidR="00FA06D1" w:rsidRDefault="00C64CFD" w:rsidP="00C64CFD">
      <w:pPr>
        <w:pStyle w:val="Default"/>
        <w:rPr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Podrán acogerse a las ayudas previstas en esta convocatoria los Estudiantes y Docentes de los </w:t>
      </w:r>
      <w:r w:rsidR="00D23E8D">
        <w:rPr>
          <w:color w:val="auto"/>
          <w:sz w:val="22"/>
          <w:szCs w:val="22"/>
        </w:rPr>
        <w:t>de la Facultad de Ciencias Veterinarias de la UNCPBA</w:t>
      </w:r>
      <w:r>
        <w:rPr>
          <w:color w:val="auto"/>
          <w:sz w:val="22"/>
          <w:szCs w:val="22"/>
        </w:rPr>
        <w:t xml:space="preserve">, de aquellas universidades de la red a las que se haya asignado fondos en esta edición 2013-14. El listado de programas se puede consultar en el </w:t>
      </w:r>
      <w:r w:rsidRPr="00413E1E">
        <w:rPr>
          <w:b/>
          <w:color w:val="FF0000"/>
          <w:sz w:val="22"/>
          <w:szCs w:val="22"/>
        </w:rPr>
        <w:t>Anexo II</w:t>
      </w:r>
    </w:p>
    <w:p w:rsidR="001864DF" w:rsidRDefault="00AE77CA" w:rsidP="00C64CFD">
      <w:pPr>
        <w:pStyle w:val="Default"/>
      </w:pPr>
      <w:hyperlink r:id="rId7" w:history="1">
        <w:r w:rsidR="001864DF" w:rsidRPr="00C90DB6">
          <w:rPr>
            <w:rStyle w:val="Hipervnculo"/>
            <w:rFonts w:cstheme="minorBidi"/>
            <w:color w:val="auto"/>
          </w:rPr>
          <w:t>http://www.vet.unicen.edu.ar/html/Doctorado08/DoctoradoBienvenida.html</w:t>
        </w:r>
      </w:hyperlink>
    </w:p>
    <w:p w:rsidR="00275DFF" w:rsidRDefault="00275DFF" w:rsidP="00C64CFD">
      <w:pPr>
        <w:pStyle w:val="Default"/>
      </w:pPr>
    </w:p>
    <w:p w:rsidR="00C90DB6" w:rsidRPr="000F3F5E" w:rsidRDefault="00C90DB6" w:rsidP="00C64CFD">
      <w:pPr>
        <w:pStyle w:val="Default"/>
        <w:rPr>
          <w:rFonts w:cstheme="minorBidi"/>
          <w:color w:val="auto"/>
        </w:rPr>
      </w:pPr>
    </w:p>
    <w:p w:rsidR="00C64CFD" w:rsidRPr="00413E1E" w:rsidRDefault="00C64CFD" w:rsidP="00C64CFD">
      <w:pPr>
        <w:pStyle w:val="Default"/>
        <w:pageBreakBefore/>
        <w:rPr>
          <w:b/>
          <w:color w:val="FF0000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lastRenderedPageBreak/>
        <w:t xml:space="preserve">4. Número y dotación de las ayudas </w:t>
      </w:r>
    </w:p>
    <w:p w:rsidR="00C64CFD" w:rsidRDefault="00C64CFD" w:rsidP="00C64CFD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a. Se conceden un </w:t>
      </w:r>
      <w:r w:rsidRPr="00B24966">
        <w:rPr>
          <w:color w:val="auto"/>
          <w:sz w:val="22"/>
          <w:szCs w:val="22"/>
        </w:rPr>
        <w:t xml:space="preserve">total </w:t>
      </w:r>
      <w:r w:rsidRPr="00B24966">
        <w:rPr>
          <w:b/>
          <w:color w:val="auto"/>
          <w:sz w:val="22"/>
          <w:szCs w:val="22"/>
        </w:rPr>
        <w:t xml:space="preserve">de </w:t>
      </w:r>
      <w:r w:rsidR="00210D07" w:rsidRPr="00B24966">
        <w:rPr>
          <w:b/>
          <w:bCs/>
          <w:color w:val="auto"/>
          <w:sz w:val="22"/>
          <w:szCs w:val="22"/>
        </w:rPr>
        <w:t>4</w:t>
      </w:r>
      <w:r w:rsidRPr="00B24966">
        <w:rPr>
          <w:b/>
          <w:bCs/>
          <w:color w:val="auto"/>
          <w:sz w:val="22"/>
          <w:szCs w:val="22"/>
        </w:rPr>
        <w:t xml:space="preserve"> ayudas</w:t>
      </w:r>
      <w:r w:rsidRPr="00B24966">
        <w:rPr>
          <w:b/>
          <w:color w:val="auto"/>
          <w:sz w:val="22"/>
          <w:szCs w:val="22"/>
        </w:rPr>
        <w:t xml:space="preserve">, </w:t>
      </w:r>
      <w:r w:rsidR="00210D07" w:rsidRPr="00B24966">
        <w:rPr>
          <w:b/>
          <w:bCs/>
          <w:color w:val="auto"/>
          <w:sz w:val="22"/>
          <w:szCs w:val="22"/>
        </w:rPr>
        <w:t>2</w:t>
      </w:r>
      <w:r w:rsidRPr="00B24966">
        <w:rPr>
          <w:b/>
          <w:bCs/>
          <w:color w:val="auto"/>
          <w:sz w:val="22"/>
          <w:szCs w:val="22"/>
        </w:rPr>
        <w:t xml:space="preserve"> para Estudiantes </w:t>
      </w:r>
      <w:r w:rsidRPr="00B24966">
        <w:rPr>
          <w:b/>
          <w:color w:val="auto"/>
          <w:sz w:val="22"/>
          <w:szCs w:val="22"/>
        </w:rPr>
        <w:t xml:space="preserve">y </w:t>
      </w:r>
      <w:r w:rsidR="00413E1E" w:rsidRPr="00B24966">
        <w:rPr>
          <w:b/>
          <w:bCs/>
          <w:color w:val="auto"/>
          <w:sz w:val="22"/>
          <w:szCs w:val="22"/>
        </w:rPr>
        <w:t>2</w:t>
      </w:r>
      <w:r w:rsidRPr="00B24966">
        <w:rPr>
          <w:b/>
          <w:bCs/>
          <w:color w:val="auto"/>
          <w:sz w:val="22"/>
          <w:szCs w:val="22"/>
        </w:rPr>
        <w:t xml:space="preserve"> para Docentes</w:t>
      </w:r>
      <w:r w:rsidRPr="00B24966">
        <w:rPr>
          <w:b/>
          <w:color w:val="auto"/>
          <w:sz w:val="22"/>
          <w:szCs w:val="22"/>
        </w:rPr>
        <w:t>,</w:t>
      </w:r>
      <w:r w:rsidRPr="00B24966">
        <w:rPr>
          <w:color w:val="auto"/>
          <w:sz w:val="22"/>
          <w:szCs w:val="22"/>
        </w:rPr>
        <w:t>según la siguiente tabla:</w:t>
      </w:r>
      <w:r>
        <w:rPr>
          <w:color w:val="auto"/>
          <w:sz w:val="22"/>
          <w:szCs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13"/>
        <w:gridCol w:w="1513"/>
        <w:gridCol w:w="1513"/>
        <w:gridCol w:w="1513"/>
        <w:gridCol w:w="1513"/>
      </w:tblGrid>
      <w:tr w:rsidR="00FA06D1">
        <w:trPr>
          <w:trHeight w:val="85"/>
        </w:trPr>
        <w:tc>
          <w:tcPr>
            <w:tcW w:w="1513" w:type="dxa"/>
          </w:tcPr>
          <w:p w:rsidR="00FA06D1" w:rsidRPr="00500838" w:rsidRDefault="00FA06D1">
            <w:pPr>
              <w:pStyle w:val="Default"/>
              <w:rPr>
                <w:rFonts w:ascii="Calibri" w:hAnsi="Calibri" w:cs="Calibri"/>
                <w:b/>
                <w:bCs/>
                <w:sz w:val="17"/>
                <w:szCs w:val="17"/>
                <w:highlight w:val="green"/>
              </w:rPr>
            </w:pPr>
          </w:p>
        </w:tc>
        <w:tc>
          <w:tcPr>
            <w:tcW w:w="1513" w:type="dxa"/>
          </w:tcPr>
          <w:p w:rsidR="00FA06D1" w:rsidRPr="00500838" w:rsidRDefault="00FA06D1">
            <w:pPr>
              <w:pStyle w:val="Default"/>
              <w:rPr>
                <w:rFonts w:ascii="Calibri" w:hAnsi="Calibri" w:cs="Calibri"/>
                <w:sz w:val="17"/>
                <w:szCs w:val="17"/>
                <w:highlight w:val="green"/>
              </w:rPr>
            </w:pPr>
          </w:p>
        </w:tc>
        <w:tc>
          <w:tcPr>
            <w:tcW w:w="1513" w:type="dxa"/>
          </w:tcPr>
          <w:p w:rsidR="00FA06D1" w:rsidRPr="00500838" w:rsidRDefault="00FA06D1">
            <w:pPr>
              <w:pStyle w:val="Default"/>
              <w:rPr>
                <w:rFonts w:ascii="Calibri" w:hAnsi="Calibri" w:cs="Calibri"/>
                <w:sz w:val="17"/>
                <w:szCs w:val="17"/>
                <w:highlight w:val="green"/>
              </w:rPr>
            </w:pPr>
          </w:p>
        </w:tc>
        <w:tc>
          <w:tcPr>
            <w:tcW w:w="1513" w:type="dxa"/>
          </w:tcPr>
          <w:p w:rsidR="00FA06D1" w:rsidRPr="00500838" w:rsidRDefault="00FA06D1">
            <w:pPr>
              <w:pStyle w:val="Default"/>
              <w:rPr>
                <w:rFonts w:ascii="Calibri" w:hAnsi="Calibri" w:cs="Calibri"/>
                <w:sz w:val="17"/>
                <w:szCs w:val="17"/>
                <w:highlight w:val="green"/>
              </w:rPr>
            </w:pPr>
          </w:p>
        </w:tc>
        <w:tc>
          <w:tcPr>
            <w:tcW w:w="1513" w:type="dxa"/>
          </w:tcPr>
          <w:p w:rsidR="00FA06D1" w:rsidRPr="00500838" w:rsidRDefault="00FA06D1">
            <w:pPr>
              <w:pStyle w:val="Default"/>
              <w:rPr>
                <w:rFonts w:ascii="Calibri" w:hAnsi="Calibri" w:cs="Calibri"/>
                <w:sz w:val="14"/>
                <w:szCs w:val="14"/>
                <w:highlight w:val="green"/>
              </w:rPr>
            </w:pPr>
          </w:p>
        </w:tc>
      </w:tr>
      <w:tr w:rsidR="00FA06D1" w:rsidTr="00FA06D1">
        <w:trPr>
          <w:trHeight w:val="85"/>
        </w:trPr>
        <w:tc>
          <w:tcPr>
            <w:tcW w:w="1513" w:type="dxa"/>
            <w:tcBorders>
              <w:left w:val="nil"/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Universidad 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sz w:val="17"/>
                <w:szCs w:val="17"/>
              </w:rPr>
              <w:t xml:space="preserve">Estudiantes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(2)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sz w:val="17"/>
                <w:szCs w:val="17"/>
              </w:rPr>
              <w:t xml:space="preserve">Semanas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>(8)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sz w:val="17"/>
                <w:szCs w:val="17"/>
              </w:rPr>
              <w:t xml:space="preserve">País destino 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sz w:val="17"/>
                <w:szCs w:val="17"/>
              </w:rPr>
              <w:t xml:space="preserve">Universidad </w:t>
            </w:r>
          </w:p>
        </w:tc>
      </w:tr>
      <w:tr w:rsidR="00FA06D1" w:rsidRPr="006A632B" w:rsidTr="00FA06D1">
        <w:trPr>
          <w:trHeight w:val="85"/>
        </w:trPr>
        <w:tc>
          <w:tcPr>
            <w:tcW w:w="1513" w:type="dxa"/>
            <w:tcBorders>
              <w:left w:val="nil"/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bCs/>
                <w:sz w:val="17"/>
                <w:szCs w:val="17"/>
              </w:rPr>
              <w:t>UNCPBA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1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4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España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FA06D1">
              <w:rPr>
                <w:rFonts w:ascii="Calibri" w:hAnsi="Calibri" w:cs="Calibri"/>
                <w:sz w:val="14"/>
                <w:szCs w:val="14"/>
              </w:rPr>
              <w:t>Universidad de Jaen (UJA)</w:t>
            </w:r>
          </w:p>
        </w:tc>
      </w:tr>
      <w:tr w:rsidR="00FA06D1" w:rsidRPr="006A632B" w:rsidTr="00FA06D1">
        <w:trPr>
          <w:trHeight w:val="85"/>
        </w:trPr>
        <w:tc>
          <w:tcPr>
            <w:tcW w:w="1513" w:type="dxa"/>
            <w:tcBorders>
              <w:left w:val="nil"/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bCs/>
                <w:sz w:val="17"/>
                <w:szCs w:val="17"/>
              </w:rPr>
              <w:t>UNCPBA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1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4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España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FA06D1">
              <w:rPr>
                <w:rFonts w:ascii="Calibri" w:hAnsi="Calibri" w:cs="Calibri"/>
                <w:sz w:val="14"/>
                <w:szCs w:val="14"/>
              </w:rPr>
              <w:t>Universidad de Córdoba (UCO)</w:t>
            </w:r>
          </w:p>
        </w:tc>
      </w:tr>
      <w:tr w:rsidR="00FA06D1" w:rsidTr="00FA06D1">
        <w:trPr>
          <w:trHeight w:val="85"/>
        </w:trPr>
        <w:tc>
          <w:tcPr>
            <w:tcW w:w="1513" w:type="dxa"/>
            <w:tcBorders>
              <w:left w:val="nil"/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bCs/>
                <w:sz w:val="17"/>
                <w:szCs w:val="17"/>
              </w:rPr>
              <w:t xml:space="preserve">Universidad 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sz w:val="17"/>
                <w:szCs w:val="17"/>
              </w:rPr>
              <w:t xml:space="preserve">Docentes (2) 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sz w:val="17"/>
                <w:szCs w:val="17"/>
              </w:rPr>
              <w:t xml:space="preserve">Semanas (4) 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sz w:val="17"/>
                <w:szCs w:val="17"/>
              </w:rPr>
              <w:t xml:space="preserve">País destino 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sz w:val="17"/>
                <w:szCs w:val="17"/>
              </w:rPr>
              <w:t xml:space="preserve">Universidad </w:t>
            </w:r>
          </w:p>
        </w:tc>
      </w:tr>
      <w:tr w:rsidR="00FA06D1" w:rsidRPr="00500838" w:rsidTr="00FA06D1">
        <w:trPr>
          <w:trHeight w:val="85"/>
        </w:trPr>
        <w:tc>
          <w:tcPr>
            <w:tcW w:w="1513" w:type="dxa"/>
            <w:tcBorders>
              <w:left w:val="nil"/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bCs/>
                <w:sz w:val="17"/>
                <w:szCs w:val="17"/>
              </w:rPr>
              <w:t>UNCPBA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1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2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España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FA06D1">
              <w:rPr>
                <w:rFonts w:ascii="Calibri" w:hAnsi="Calibri" w:cs="Calibri"/>
                <w:sz w:val="14"/>
                <w:szCs w:val="14"/>
              </w:rPr>
              <w:t>Universidad de Jaen (UJA)</w:t>
            </w:r>
          </w:p>
        </w:tc>
      </w:tr>
      <w:tr w:rsidR="00FA06D1" w:rsidTr="00FA06D1">
        <w:trPr>
          <w:trHeight w:val="85"/>
        </w:trPr>
        <w:tc>
          <w:tcPr>
            <w:tcW w:w="1513" w:type="dxa"/>
            <w:tcBorders>
              <w:left w:val="nil"/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FA06D1">
              <w:rPr>
                <w:rFonts w:ascii="Calibri" w:hAnsi="Calibri" w:cs="Calibri"/>
                <w:b/>
                <w:bCs/>
                <w:sz w:val="17"/>
                <w:szCs w:val="17"/>
              </w:rPr>
              <w:t>UNCPBA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1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2</w:t>
            </w:r>
          </w:p>
        </w:tc>
        <w:tc>
          <w:tcPr>
            <w:tcW w:w="1513" w:type="dxa"/>
            <w:tcBorders>
              <w:bottom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7"/>
                <w:szCs w:val="17"/>
              </w:rPr>
            </w:pPr>
            <w:r w:rsidRPr="00FA06D1">
              <w:rPr>
                <w:rFonts w:ascii="Calibri" w:hAnsi="Calibri" w:cs="Calibri"/>
                <w:sz w:val="17"/>
                <w:szCs w:val="17"/>
              </w:rPr>
              <w:t>España</w:t>
            </w:r>
          </w:p>
        </w:tc>
        <w:tc>
          <w:tcPr>
            <w:tcW w:w="1513" w:type="dxa"/>
            <w:tcBorders>
              <w:bottom w:val="nil"/>
              <w:right w:val="nil"/>
            </w:tcBorders>
          </w:tcPr>
          <w:p w:rsidR="00FA06D1" w:rsidRPr="00FA06D1" w:rsidRDefault="00FA06D1" w:rsidP="00AC3CCC">
            <w:pPr>
              <w:pStyle w:val="Default"/>
              <w:rPr>
                <w:rFonts w:ascii="Calibri" w:hAnsi="Calibri" w:cs="Calibri"/>
                <w:sz w:val="14"/>
                <w:szCs w:val="14"/>
              </w:rPr>
            </w:pPr>
            <w:r w:rsidRPr="00FA06D1">
              <w:rPr>
                <w:rFonts w:ascii="Calibri" w:hAnsi="Calibri" w:cs="Calibri"/>
                <w:sz w:val="14"/>
                <w:szCs w:val="14"/>
              </w:rPr>
              <w:t>Universidad de Córdoba (UCO)</w:t>
            </w:r>
          </w:p>
        </w:tc>
      </w:tr>
    </w:tbl>
    <w:p w:rsidR="00C64CFD" w:rsidRDefault="00C64CFD" w:rsidP="00C64CFD">
      <w:pPr>
        <w:pStyle w:val="Default"/>
      </w:pPr>
    </w:p>
    <w:p w:rsidR="00C64CFD" w:rsidRDefault="00C64CFD" w:rsidP="00C64CFD">
      <w:pPr>
        <w:pStyle w:val="Default"/>
        <w:spacing w:after="32"/>
        <w:rPr>
          <w:sz w:val="22"/>
          <w:szCs w:val="22"/>
        </w:rPr>
      </w:pPr>
      <w:r>
        <w:rPr>
          <w:sz w:val="22"/>
          <w:szCs w:val="22"/>
        </w:rPr>
        <w:t xml:space="preserve">b. La duración de las estancias es variable y se detalla en la Tabla anterior.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c. Siguiendo con lo acordado en la V Reunión del Comité Técnico, </w:t>
      </w:r>
      <w:r w:rsidR="00500838" w:rsidRPr="00500838">
        <w:rPr>
          <w:color w:val="auto"/>
          <w:sz w:val="22"/>
          <w:szCs w:val="22"/>
        </w:rPr>
        <w:t>la UNCPBA</w:t>
      </w:r>
      <w:r>
        <w:rPr>
          <w:sz w:val="22"/>
          <w:szCs w:val="22"/>
        </w:rPr>
        <w:t>financiará la esta</w:t>
      </w:r>
      <w:r w:rsidR="00E6437E">
        <w:rPr>
          <w:sz w:val="22"/>
          <w:szCs w:val="22"/>
        </w:rPr>
        <w:t>día</w:t>
      </w:r>
      <w:r>
        <w:rPr>
          <w:sz w:val="22"/>
          <w:szCs w:val="22"/>
        </w:rPr>
        <w:t xml:space="preserve"> de los profesores y estudiantes que reciba y </w:t>
      </w:r>
      <w:r w:rsidR="00210D07">
        <w:rPr>
          <w:sz w:val="22"/>
          <w:szCs w:val="22"/>
        </w:rPr>
        <w:t>brin</w:t>
      </w:r>
      <w:r w:rsidR="00210D07" w:rsidRPr="00210D07">
        <w:rPr>
          <w:sz w:val="22"/>
          <w:szCs w:val="22"/>
        </w:rPr>
        <w:t>d</w:t>
      </w:r>
      <w:r w:rsidR="00210D07">
        <w:rPr>
          <w:sz w:val="22"/>
          <w:szCs w:val="22"/>
        </w:rPr>
        <w:t>a</w:t>
      </w:r>
      <w:r w:rsidR="00210D07" w:rsidRPr="00210D07">
        <w:rPr>
          <w:sz w:val="22"/>
          <w:szCs w:val="22"/>
        </w:rPr>
        <w:t>rá</w:t>
      </w:r>
      <w:r w:rsidR="00500838">
        <w:rPr>
          <w:sz w:val="22"/>
          <w:szCs w:val="22"/>
        </w:rPr>
        <w:t xml:space="preserve"> apoyo económico</w:t>
      </w:r>
      <w:r>
        <w:rPr>
          <w:sz w:val="22"/>
          <w:szCs w:val="22"/>
        </w:rPr>
        <w:t xml:space="preserve"> (</w:t>
      </w:r>
      <w:r w:rsidR="00E6437E">
        <w:rPr>
          <w:sz w:val="22"/>
          <w:szCs w:val="22"/>
        </w:rPr>
        <w:t xml:space="preserve">pasaje </w:t>
      </w:r>
      <w:r>
        <w:rPr>
          <w:sz w:val="22"/>
          <w:szCs w:val="22"/>
        </w:rPr>
        <w:t xml:space="preserve">aéreo y seguro médico) para los </w:t>
      </w:r>
      <w:r w:rsidR="00E6437E">
        <w:rPr>
          <w:sz w:val="22"/>
          <w:szCs w:val="22"/>
        </w:rPr>
        <w:t>argentinos</w:t>
      </w:r>
      <w:r>
        <w:rPr>
          <w:sz w:val="22"/>
          <w:szCs w:val="22"/>
        </w:rPr>
        <w:t xml:space="preserve"> que </w:t>
      </w:r>
      <w:r w:rsidR="00E6437E">
        <w:rPr>
          <w:sz w:val="22"/>
          <w:szCs w:val="22"/>
        </w:rPr>
        <w:t>vayan</w:t>
      </w:r>
      <w:r>
        <w:rPr>
          <w:sz w:val="22"/>
          <w:szCs w:val="22"/>
        </w:rPr>
        <w:t xml:space="preserve"> a instituciones de otros países, según el siguiente detalle</w:t>
      </w:r>
    </w:p>
    <w:p w:rsidR="00F9024A" w:rsidRDefault="00F9024A" w:rsidP="00C64CFD">
      <w:pPr>
        <w:pStyle w:val="Default"/>
        <w:rPr>
          <w:sz w:val="22"/>
          <w:szCs w:val="22"/>
        </w:rPr>
      </w:pPr>
    </w:p>
    <w:tbl>
      <w:tblPr>
        <w:tblStyle w:val="TableNormal"/>
        <w:tblW w:w="31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1360"/>
        <w:gridCol w:w="1309"/>
        <w:gridCol w:w="1360"/>
      </w:tblGrid>
      <w:tr w:rsidR="00F9024A" w:rsidRPr="00F9024A" w:rsidTr="00F9024A">
        <w:trPr>
          <w:trHeight w:hRule="exact" w:val="283"/>
          <w:jc w:val="center"/>
        </w:trPr>
        <w:tc>
          <w:tcPr>
            <w:tcW w:w="2500" w:type="pct"/>
            <w:gridSpan w:val="2"/>
            <w:shd w:val="clear" w:color="auto" w:fill="F2F2F2" w:themeFill="background1" w:themeFillShade="F2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  <w:b/>
              </w:rPr>
            </w:pPr>
            <w:r w:rsidRPr="00F9024A">
              <w:rPr>
                <w:rFonts w:ascii="Corbel" w:eastAsia="Corbel" w:hAnsi="Corbel" w:cs="Times New Roman"/>
                <w:b/>
              </w:rPr>
              <w:t>UNIV. ORIGEN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  <w:b/>
              </w:rPr>
            </w:pPr>
            <w:r w:rsidRPr="00F9024A">
              <w:rPr>
                <w:rFonts w:ascii="Corbel" w:eastAsia="Corbel" w:hAnsi="Corbel" w:cs="Times New Roman"/>
                <w:b/>
              </w:rPr>
              <w:t>UNIV. DESTINO</w:t>
            </w:r>
          </w:p>
        </w:tc>
      </w:tr>
      <w:tr w:rsidR="00F9024A" w:rsidRPr="00F9024A" w:rsidTr="00F9024A">
        <w:trPr>
          <w:trHeight w:val="283"/>
          <w:jc w:val="center"/>
        </w:trPr>
        <w:tc>
          <w:tcPr>
            <w:tcW w:w="1226" w:type="pct"/>
            <w:shd w:val="clear" w:color="auto" w:fill="auto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  <w:b/>
              </w:rPr>
            </w:pPr>
            <w:r w:rsidRPr="00F9024A">
              <w:rPr>
                <w:rFonts w:ascii="Corbel" w:eastAsia="Corbel" w:hAnsi="Corbel" w:cs="Times New Roman"/>
                <w:b/>
              </w:rPr>
              <w:t>ESTUDIANTE</w:t>
            </w:r>
          </w:p>
        </w:tc>
        <w:tc>
          <w:tcPr>
            <w:tcW w:w="1274" w:type="pct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  <w:b/>
              </w:rPr>
            </w:pPr>
            <w:r w:rsidRPr="00F9024A">
              <w:rPr>
                <w:rFonts w:ascii="Corbel" w:eastAsia="Corbel" w:hAnsi="Corbel" w:cs="Times New Roman"/>
                <w:b/>
              </w:rPr>
              <w:t>PROFESORES</w:t>
            </w:r>
          </w:p>
        </w:tc>
        <w:tc>
          <w:tcPr>
            <w:tcW w:w="1226" w:type="pct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  <w:b/>
              </w:rPr>
            </w:pPr>
            <w:r w:rsidRPr="00F9024A">
              <w:rPr>
                <w:rFonts w:ascii="Corbel" w:eastAsia="Corbel" w:hAnsi="Corbel" w:cs="Times New Roman"/>
                <w:b/>
              </w:rPr>
              <w:t>ESTUDIANTE</w:t>
            </w:r>
          </w:p>
        </w:tc>
        <w:tc>
          <w:tcPr>
            <w:tcW w:w="1274" w:type="pct"/>
            <w:shd w:val="clear" w:color="auto" w:fill="auto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  <w:b/>
              </w:rPr>
            </w:pPr>
            <w:r w:rsidRPr="00F9024A">
              <w:rPr>
                <w:rFonts w:ascii="Corbel" w:eastAsia="Corbel" w:hAnsi="Corbel" w:cs="Times New Roman"/>
                <w:b/>
              </w:rPr>
              <w:t>PROFESORES</w:t>
            </w:r>
          </w:p>
        </w:tc>
      </w:tr>
      <w:tr w:rsidR="00F9024A" w:rsidRPr="00F9024A" w:rsidTr="00F9024A">
        <w:trPr>
          <w:trHeight w:val="283"/>
          <w:jc w:val="center"/>
        </w:trPr>
        <w:tc>
          <w:tcPr>
            <w:tcW w:w="2500" w:type="pct"/>
            <w:gridSpan w:val="2"/>
            <w:shd w:val="clear" w:color="auto" w:fill="F2F2F2" w:themeFill="background1" w:themeFillShade="F2"/>
            <w:vAlign w:val="bottom"/>
          </w:tcPr>
          <w:p w:rsidR="00F9024A" w:rsidRPr="00F9024A" w:rsidRDefault="00F9024A" w:rsidP="00881BB7">
            <w:pPr>
              <w:jc w:val="center"/>
              <w:rPr>
                <w:rFonts w:ascii="Corbel" w:eastAsia="Corbel" w:hAnsi="Corbel" w:cs="Times New Roman"/>
              </w:rPr>
            </w:pPr>
            <w:r w:rsidRPr="00F9024A">
              <w:rPr>
                <w:rFonts w:ascii="Corbel" w:eastAsia="Corbel" w:hAnsi="Corbel" w:cs="Times New Roman"/>
              </w:rPr>
              <w:t>Seguro+Traslados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</w:rPr>
            </w:pPr>
            <w:r w:rsidRPr="00F9024A">
              <w:rPr>
                <w:rFonts w:ascii="Corbel" w:eastAsia="Corbel" w:hAnsi="Corbel" w:cs="Times New Roman"/>
              </w:rPr>
              <w:t>Día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</w:rPr>
            </w:pPr>
            <w:r w:rsidRPr="00F9024A">
              <w:rPr>
                <w:rFonts w:ascii="Corbel" w:eastAsia="Corbel" w:hAnsi="Corbel" w:cs="Times New Roman"/>
              </w:rPr>
              <w:t>Día</w:t>
            </w:r>
          </w:p>
        </w:tc>
      </w:tr>
      <w:tr w:rsidR="00F9024A" w:rsidRPr="00F9024A" w:rsidTr="00F9024A">
        <w:trPr>
          <w:trHeight w:val="283"/>
          <w:jc w:val="center"/>
        </w:trPr>
        <w:tc>
          <w:tcPr>
            <w:tcW w:w="2500" w:type="pct"/>
            <w:gridSpan w:val="2"/>
            <w:vMerge w:val="restart"/>
            <w:shd w:val="clear" w:color="auto" w:fill="auto"/>
            <w:vAlign w:val="center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</w:rPr>
            </w:pPr>
          </w:p>
        </w:tc>
        <w:tc>
          <w:tcPr>
            <w:tcW w:w="1226" w:type="pct"/>
            <w:vAlign w:val="bottom"/>
          </w:tcPr>
          <w:p w:rsidR="00F9024A" w:rsidRPr="005D3237" w:rsidRDefault="005D3237" w:rsidP="00F9024A">
            <w:pPr>
              <w:jc w:val="center"/>
              <w:rPr>
                <w:rFonts w:ascii="Corbel" w:eastAsia="Corbel" w:hAnsi="Corbel" w:cs="Times New Roman"/>
              </w:rPr>
            </w:pPr>
            <w:r w:rsidRPr="005D3237">
              <w:rPr>
                <w:rFonts w:ascii="Corbel" w:eastAsia="Corbel" w:hAnsi="Corbel" w:cs="Times New Roman"/>
                <w:spacing w:val="-1"/>
              </w:rPr>
              <w:t xml:space="preserve">USD </w:t>
            </w:r>
            <w:r w:rsidR="00881BB7" w:rsidRPr="005D3237">
              <w:rPr>
                <w:rFonts w:ascii="Corbel" w:eastAsia="Corbel" w:hAnsi="Corbel" w:cs="Times New Roman"/>
                <w:spacing w:val="-1"/>
              </w:rPr>
              <w:t>124</w:t>
            </w:r>
          </w:p>
        </w:tc>
        <w:tc>
          <w:tcPr>
            <w:tcW w:w="1274" w:type="pct"/>
            <w:shd w:val="clear" w:color="auto" w:fill="auto"/>
            <w:vAlign w:val="bottom"/>
          </w:tcPr>
          <w:p w:rsidR="00F9024A" w:rsidRPr="005D3237" w:rsidRDefault="005D3237" w:rsidP="00F9024A">
            <w:pPr>
              <w:jc w:val="center"/>
              <w:rPr>
                <w:rFonts w:ascii="Corbel" w:eastAsia="Corbel" w:hAnsi="Corbel" w:cs="Times New Roman"/>
              </w:rPr>
            </w:pPr>
            <w:r w:rsidRPr="005D3237">
              <w:rPr>
                <w:rFonts w:ascii="Corbel" w:eastAsia="Corbel" w:hAnsi="Corbel" w:cs="Times New Roman"/>
                <w:spacing w:val="-1"/>
              </w:rPr>
              <w:t xml:space="preserve">USD </w:t>
            </w:r>
            <w:r w:rsidR="00881BB7" w:rsidRPr="005D3237">
              <w:rPr>
                <w:rFonts w:ascii="Corbel" w:eastAsia="Corbel" w:hAnsi="Corbel" w:cs="Times New Roman"/>
                <w:spacing w:val="-1"/>
              </w:rPr>
              <w:t>150</w:t>
            </w:r>
          </w:p>
        </w:tc>
      </w:tr>
      <w:tr w:rsidR="00F9024A" w:rsidRPr="00F9024A" w:rsidTr="00F9024A">
        <w:trPr>
          <w:trHeight w:val="283"/>
          <w:jc w:val="center"/>
        </w:trPr>
        <w:tc>
          <w:tcPr>
            <w:tcW w:w="2500" w:type="pct"/>
            <w:gridSpan w:val="2"/>
            <w:vMerge/>
            <w:shd w:val="clear" w:color="auto" w:fill="auto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bottom"/>
          </w:tcPr>
          <w:p w:rsidR="00F9024A" w:rsidRPr="005D3237" w:rsidRDefault="00F9024A" w:rsidP="00F9024A">
            <w:pPr>
              <w:jc w:val="center"/>
              <w:rPr>
                <w:rFonts w:ascii="Corbel" w:eastAsia="Corbel" w:hAnsi="Corbel" w:cs="Times New Roman"/>
              </w:rPr>
            </w:pPr>
            <w:r w:rsidRPr="005D3237">
              <w:rPr>
                <w:rFonts w:ascii="Corbel" w:eastAsia="Corbel" w:hAnsi="Corbel" w:cs="Times New Roman"/>
              </w:rPr>
              <w:t>S</w:t>
            </w:r>
            <w:r w:rsidRPr="005D3237">
              <w:rPr>
                <w:rFonts w:ascii="Corbel" w:eastAsia="Corbel" w:hAnsi="Corbel" w:cs="Times New Roman"/>
                <w:spacing w:val="-1"/>
              </w:rPr>
              <w:t>e</w:t>
            </w:r>
            <w:r w:rsidRPr="005D3237">
              <w:rPr>
                <w:rFonts w:ascii="Corbel" w:eastAsia="Corbel" w:hAnsi="Corbel" w:cs="Times New Roman"/>
              </w:rPr>
              <w:t>m</w:t>
            </w:r>
            <w:r w:rsidRPr="005D3237">
              <w:rPr>
                <w:rFonts w:ascii="Corbel" w:eastAsia="Corbel" w:hAnsi="Corbel" w:cs="Times New Roman"/>
                <w:spacing w:val="-1"/>
              </w:rPr>
              <w:t>a</w:t>
            </w:r>
            <w:r w:rsidRPr="005D3237">
              <w:rPr>
                <w:rFonts w:ascii="Corbel" w:eastAsia="Corbel" w:hAnsi="Corbel" w:cs="Times New Roman"/>
                <w:spacing w:val="1"/>
              </w:rPr>
              <w:t>n</w:t>
            </w:r>
            <w:r w:rsidRPr="005D3237">
              <w:rPr>
                <w:rFonts w:ascii="Corbel" w:eastAsia="Corbel" w:hAnsi="Corbel" w:cs="Times New Roman"/>
              </w:rPr>
              <w:t>a</w:t>
            </w:r>
          </w:p>
        </w:tc>
        <w:tc>
          <w:tcPr>
            <w:tcW w:w="1274" w:type="pct"/>
            <w:shd w:val="clear" w:color="auto" w:fill="F2F2F2" w:themeFill="background1" w:themeFillShade="F2"/>
            <w:vAlign w:val="bottom"/>
          </w:tcPr>
          <w:p w:rsidR="00F9024A" w:rsidRPr="005D3237" w:rsidRDefault="00F9024A" w:rsidP="00F9024A">
            <w:pPr>
              <w:jc w:val="center"/>
              <w:rPr>
                <w:rFonts w:ascii="Corbel" w:eastAsia="Corbel" w:hAnsi="Corbel" w:cs="Times New Roman"/>
              </w:rPr>
            </w:pPr>
            <w:r w:rsidRPr="005D3237">
              <w:rPr>
                <w:rFonts w:ascii="Corbel" w:eastAsia="Corbel" w:hAnsi="Corbel" w:cs="Times New Roman"/>
              </w:rPr>
              <w:t>S</w:t>
            </w:r>
            <w:r w:rsidRPr="005D3237">
              <w:rPr>
                <w:rFonts w:ascii="Corbel" w:eastAsia="Corbel" w:hAnsi="Corbel" w:cs="Times New Roman"/>
                <w:spacing w:val="-1"/>
              </w:rPr>
              <w:t>e</w:t>
            </w:r>
            <w:r w:rsidRPr="005D3237">
              <w:rPr>
                <w:rFonts w:ascii="Corbel" w:eastAsia="Corbel" w:hAnsi="Corbel" w:cs="Times New Roman"/>
              </w:rPr>
              <w:t>m</w:t>
            </w:r>
            <w:r w:rsidRPr="005D3237">
              <w:rPr>
                <w:rFonts w:ascii="Corbel" w:eastAsia="Corbel" w:hAnsi="Corbel" w:cs="Times New Roman"/>
                <w:spacing w:val="-1"/>
              </w:rPr>
              <w:t>a</w:t>
            </w:r>
            <w:r w:rsidRPr="005D3237">
              <w:rPr>
                <w:rFonts w:ascii="Corbel" w:eastAsia="Corbel" w:hAnsi="Corbel" w:cs="Times New Roman"/>
                <w:spacing w:val="1"/>
              </w:rPr>
              <w:t>n</w:t>
            </w:r>
            <w:r w:rsidRPr="005D3237">
              <w:rPr>
                <w:rFonts w:ascii="Corbel" w:eastAsia="Corbel" w:hAnsi="Corbel" w:cs="Times New Roman"/>
              </w:rPr>
              <w:t>a</w:t>
            </w:r>
          </w:p>
        </w:tc>
      </w:tr>
      <w:tr w:rsidR="00F9024A" w:rsidRPr="00F9024A" w:rsidTr="00F9024A">
        <w:trPr>
          <w:trHeight w:val="283"/>
          <w:jc w:val="center"/>
        </w:trPr>
        <w:tc>
          <w:tcPr>
            <w:tcW w:w="2500" w:type="pct"/>
            <w:gridSpan w:val="2"/>
            <w:vMerge/>
            <w:shd w:val="clear" w:color="auto" w:fill="auto"/>
            <w:vAlign w:val="bottom"/>
          </w:tcPr>
          <w:p w:rsidR="00F9024A" w:rsidRPr="00F9024A" w:rsidRDefault="00F9024A" w:rsidP="00F9024A">
            <w:pPr>
              <w:jc w:val="center"/>
              <w:rPr>
                <w:rFonts w:ascii="Corbel" w:eastAsia="Corbel" w:hAnsi="Corbel" w:cs="Times New Roman"/>
              </w:rPr>
            </w:pPr>
          </w:p>
        </w:tc>
        <w:tc>
          <w:tcPr>
            <w:tcW w:w="1226" w:type="pct"/>
            <w:vAlign w:val="bottom"/>
          </w:tcPr>
          <w:p w:rsidR="00F9024A" w:rsidRPr="005D3237" w:rsidRDefault="005D3237" w:rsidP="00F9024A">
            <w:pPr>
              <w:jc w:val="center"/>
              <w:rPr>
                <w:rFonts w:ascii="Corbel" w:eastAsia="Corbel" w:hAnsi="Corbel" w:cs="Times New Roman"/>
              </w:rPr>
            </w:pPr>
            <w:r w:rsidRPr="005D3237">
              <w:rPr>
                <w:rFonts w:ascii="Corbel" w:eastAsia="Corbel" w:hAnsi="Corbel" w:cs="Times New Roman"/>
                <w:spacing w:val="-1"/>
              </w:rPr>
              <w:t xml:space="preserve">USD </w:t>
            </w:r>
            <w:r w:rsidR="00881BB7" w:rsidRPr="005D3237">
              <w:rPr>
                <w:rFonts w:ascii="Corbel" w:eastAsia="Corbel" w:hAnsi="Corbel" w:cs="Times New Roman"/>
                <w:spacing w:val="-1"/>
              </w:rPr>
              <w:t>868</w:t>
            </w:r>
          </w:p>
        </w:tc>
        <w:tc>
          <w:tcPr>
            <w:tcW w:w="1274" w:type="pct"/>
            <w:shd w:val="clear" w:color="auto" w:fill="auto"/>
            <w:vAlign w:val="bottom"/>
          </w:tcPr>
          <w:p w:rsidR="00F9024A" w:rsidRPr="005D3237" w:rsidRDefault="005D3237" w:rsidP="00F9024A">
            <w:pPr>
              <w:jc w:val="center"/>
              <w:rPr>
                <w:rFonts w:ascii="Corbel" w:eastAsia="Corbel" w:hAnsi="Corbel" w:cs="Times New Roman"/>
              </w:rPr>
            </w:pPr>
            <w:r w:rsidRPr="005D3237">
              <w:rPr>
                <w:rFonts w:ascii="Corbel" w:eastAsia="Corbel" w:hAnsi="Corbel" w:cs="Times New Roman"/>
                <w:spacing w:val="-1"/>
              </w:rPr>
              <w:t xml:space="preserve">USD </w:t>
            </w:r>
            <w:r w:rsidR="00881BB7" w:rsidRPr="005D3237">
              <w:rPr>
                <w:rFonts w:ascii="Corbel" w:eastAsia="Corbel" w:hAnsi="Corbel" w:cs="Times New Roman"/>
                <w:spacing w:val="-1"/>
              </w:rPr>
              <w:t>1050</w:t>
            </w:r>
            <w:bookmarkStart w:id="0" w:name="_GoBack"/>
            <w:bookmarkEnd w:id="0"/>
          </w:p>
        </w:tc>
      </w:tr>
    </w:tbl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Requisitos para solicitar la ayuda </w:t>
      </w:r>
    </w:p>
    <w:p w:rsidR="00E6437E" w:rsidRDefault="00C64CFD" w:rsidP="00C64C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Estar matriculado en el presente curso académico 2013/2014 como estudiante de postgrado o formar parte del equipo docente de </w:t>
      </w:r>
      <w:r w:rsidR="00D23E8D">
        <w:rPr>
          <w:sz w:val="22"/>
          <w:szCs w:val="22"/>
        </w:rPr>
        <w:t>la Facultad de Ciencias Veterinarias de la UNCPBA</w:t>
      </w:r>
      <w:r>
        <w:rPr>
          <w:sz w:val="22"/>
          <w:szCs w:val="22"/>
        </w:rPr>
        <w:t xml:space="preserve"> detallados en el Apartado 3. de la presente convocatoria</w:t>
      </w:r>
      <w:r w:rsidR="00E6437E">
        <w:rPr>
          <w:sz w:val="22"/>
          <w:szCs w:val="22"/>
        </w:rPr>
        <w:t>.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6. Presentación de solicitudes, documentación y plazos </w:t>
      </w:r>
    </w:p>
    <w:p w:rsidR="00C64CFD" w:rsidRPr="00530DD9" w:rsidRDefault="00C64CFD" w:rsidP="00C64CFD">
      <w:pPr>
        <w:pStyle w:val="Default"/>
        <w:rPr>
          <w:b/>
          <w:color w:val="FF0000"/>
          <w:sz w:val="22"/>
          <w:szCs w:val="22"/>
          <w:highlight w:val="green"/>
        </w:rPr>
      </w:pPr>
      <w:r>
        <w:rPr>
          <w:sz w:val="22"/>
          <w:szCs w:val="22"/>
        </w:rPr>
        <w:t xml:space="preserve">Las solicitudes de participación se podrán presentar desde el día </w:t>
      </w:r>
      <w:r w:rsidR="00D61032">
        <w:rPr>
          <w:b/>
          <w:color w:val="FF0000"/>
          <w:sz w:val="22"/>
          <w:szCs w:val="22"/>
          <w:highlight w:val="green"/>
        </w:rPr>
        <w:t>11</w:t>
      </w:r>
      <w:r w:rsidR="00B24966">
        <w:rPr>
          <w:b/>
          <w:color w:val="FF0000"/>
          <w:sz w:val="22"/>
          <w:szCs w:val="22"/>
          <w:highlight w:val="green"/>
        </w:rPr>
        <w:t xml:space="preserve"> de abril hasta el 31 de mayo.</w:t>
      </w:r>
    </w:p>
    <w:p w:rsidR="00791829" w:rsidRDefault="00F51108" w:rsidP="00791829">
      <w:pPr>
        <w:pStyle w:val="Default"/>
        <w:rPr>
          <w:color w:val="auto"/>
          <w:sz w:val="22"/>
          <w:szCs w:val="22"/>
        </w:rPr>
      </w:pPr>
      <w:r>
        <w:t xml:space="preserve">Las solicitudes se presentarán </w:t>
      </w:r>
      <w:r w:rsidR="00C64CFD">
        <w:t xml:space="preserve">en </w:t>
      </w:r>
      <w:r w:rsidR="00791829" w:rsidRPr="00B24966">
        <w:rPr>
          <w:b/>
          <w:color w:val="auto"/>
          <w:sz w:val="22"/>
          <w:szCs w:val="22"/>
        </w:rPr>
        <w:t xml:space="preserve">el Área de Relaciones Internacionales </w:t>
      </w:r>
      <w:r w:rsidR="00406A1F" w:rsidRPr="00B24966">
        <w:rPr>
          <w:b/>
          <w:color w:val="auto"/>
          <w:sz w:val="22"/>
          <w:szCs w:val="22"/>
        </w:rPr>
        <w:t>UNCPBA</w:t>
      </w:r>
      <w:r w:rsidR="00791829" w:rsidRPr="00B24966">
        <w:rPr>
          <w:b/>
          <w:color w:val="auto"/>
          <w:sz w:val="22"/>
          <w:szCs w:val="22"/>
        </w:rPr>
        <w:t xml:space="preserve"> – Gral. Pinto 399 2º Piso Oficina 223.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solicitud deberá presentarse junto con la siguiente documentación: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Estudiantes</w:t>
      </w:r>
      <w:r>
        <w:rPr>
          <w:sz w:val="22"/>
          <w:szCs w:val="22"/>
        </w:rPr>
        <w:t xml:space="preserve">: </w:t>
      </w:r>
    </w:p>
    <w:p w:rsidR="00C64CFD" w:rsidRDefault="00C64CFD" w:rsidP="00C64CFD">
      <w:pPr>
        <w:pStyle w:val="Default"/>
        <w:spacing w:after="56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Impreso de solicitud (Anexo I). </w:t>
      </w:r>
    </w:p>
    <w:p w:rsidR="00C64CFD" w:rsidRDefault="00C64CFD" w:rsidP="00C64CFD">
      <w:pPr>
        <w:pStyle w:val="Default"/>
        <w:spacing w:after="56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Copia de documento de identidad del solicitante. </w:t>
      </w:r>
    </w:p>
    <w:p w:rsidR="00C64CFD" w:rsidRDefault="00C64CFD" w:rsidP="00C64CFD">
      <w:pPr>
        <w:pStyle w:val="Default"/>
        <w:spacing w:after="56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Certificado </w:t>
      </w:r>
      <w:r w:rsidR="00500838" w:rsidRPr="00500838">
        <w:rPr>
          <w:color w:val="auto"/>
          <w:sz w:val="22"/>
          <w:szCs w:val="22"/>
        </w:rPr>
        <w:t>analítico</w:t>
      </w:r>
      <w:r>
        <w:rPr>
          <w:sz w:val="22"/>
          <w:szCs w:val="22"/>
        </w:rPr>
        <w:t xml:space="preserve">del solicitante (Grado y posgrado). </w:t>
      </w:r>
    </w:p>
    <w:p w:rsidR="00C64CFD" w:rsidRDefault="00C64CFD" w:rsidP="00C64CFD">
      <w:pPr>
        <w:pStyle w:val="Default"/>
        <w:spacing w:after="56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Carta de aceptación del centro receptor. </w:t>
      </w:r>
    </w:p>
    <w:p w:rsidR="00D23E8D" w:rsidRDefault="00C64CFD" w:rsidP="00C64CF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>Curriculum Vitae y Justifica</w:t>
      </w:r>
      <w:r w:rsidR="008A3A40">
        <w:rPr>
          <w:sz w:val="22"/>
          <w:szCs w:val="22"/>
        </w:rPr>
        <w:t>ción</w:t>
      </w:r>
      <w:r>
        <w:rPr>
          <w:sz w:val="22"/>
          <w:szCs w:val="22"/>
        </w:rPr>
        <w:t xml:space="preserve"> de los méritos académicos científicos y profesionales,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Docentes</w:t>
      </w:r>
      <w:r>
        <w:rPr>
          <w:sz w:val="22"/>
          <w:szCs w:val="22"/>
        </w:rPr>
        <w:t xml:space="preserve">: </w:t>
      </w:r>
    </w:p>
    <w:p w:rsidR="00C64CFD" w:rsidRDefault="00C64CFD" w:rsidP="00C64CFD">
      <w:pPr>
        <w:pStyle w:val="Default"/>
        <w:spacing w:after="5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Impreso de solicitud (Anexo I). </w:t>
      </w:r>
    </w:p>
    <w:p w:rsidR="00C64CFD" w:rsidRDefault="00C64CFD" w:rsidP="00C64CFD">
      <w:pPr>
        <w:pStyle w:val="Default"/>
        <w:spacing w:after="5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Copia de documento de identidad del solicitante. </w:t>
      </w:r>
    </w:p>
    <w:p w:rsidR="00C64CFD" w:rsidRDefault="00C64CFD" w:rsidP="00C64CFD">
      <w:pPr>
        <w:pStyle w:val="Default"/>
        <w:spacing w:after="58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Carta de aceptación del centro receptor.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sz w:val="22"/>
          <w:szCs w:val="22"/>
        </w:rPr>
        <w:t xml:space="preserve">Curriculum Vitae. </w:t>
      </w:r>
    </w:p>
    <w:p w:rsidR="008A3A40" w:rsidRDefault="008A3A40" w:rsidP="00C64CFD">
      <w:pPr>
        <w:pStyle w:val="Default"/>
        <w:rPr>
          <w:sz w:val="22"/>
          <w:szCs w:val="22"/>
        </w:rPr>
      </w:pP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7. Incompatibilidad de las ayudas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Estudiantes</w:t>
      </w:r>
      <w:r>
        <w:rPr>
          <w:sz w:val="22"/>
          <w:szCs w:val="22"/>
        </w:rPr>
        <w:t xml:space="preserve">: No podrán participar en esta convocatoria los beneficiarios de ayudas similares en convocatorias anteriores del mismo programa.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Docentes</w:t>
      </w:r>
      <w:r>
        <w:rPr>
          <w:sz w:val="22"/>
          <w:szCs w:val="22"/>
        </w:rPr>
        <w:t xml:space="preserve">: Se concederá prioridad a aquellas solicitudes de docentes que no hayan sido beneficiarios de ayudas similares en convocatorias anteriores del mismo programa.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 </w:t>
      </w:r>
      <w:r w:rsidR="00500838">
        <w:rPr>
          <w:b/>
          <w:bCs/>
          <w:sz w:val="22"/>
          <w:szCs w:val="22"/>
        </w:rPr>
        <w:t>Análisis</w:t>
      </w:r>
      <w:r>
        <w:rPr>
          <w:b/>
          <w:bCs/>
          <w:sz w:val="22"/>
          <w:szCs w:val="22"/>
        </w:rPr>
        <w:t xml:space="preserve"> de las solicitudes </w:t>
      </w:r>
    </w:p>
    <w:p w:rsidR="00C64CFD" w:rsidRPr="00E6437E" w:rsidRDefault="00500838" w:rsidP="00C64CFD">
      <w:pPr>
        <w:pStyle w:val="Default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El análisis</w:t>
      </w:r>
      <w:r w:rsidR="00C64CFD">
        <w:rPr>
          <w:sz w:val="22"/>
          <w:szCs w:val="22"/>
        </w:rPr>
        <w:t xml:space="preserve"> de las solicitudes será realizada por una </w:t>
      </w:r>
      <w:r w:rsidR="00C64CFD" w:rsidRPr="00500838">
        <w:rPr>
          <w:b/>
          <w:bCs/>
          <w:sz w:val="22"/>
          <w:szCs w:val="22"/>
        </w:rPr>
        <w:t xml:space="preserve">Comisión Académica de Valoración asociada a la Red "Agroalimentación, Producción y Sanidad Animal". </w:t>
      </w:r>
      <w:r w:rsidR="00C64CFD" w:rsidRPr="00500838">
        <w:rPr>
          <w:sz w:val="22"/>
          <w:szCs w:val="22"/>
        </w:rPr>
        <w:t>En cada universidad ceiA3 participante se designarán los miembros constituyentes de dicha comisión</w:t>
      </w:r>
      <w:r>
        <w:rPr>
          <w:sz w:val="22"/>
          <w:szCs w:val="22"/>
        </w:rPr>
        <w:t>. La UNCPBA definirá oportunamente los integrantes de dicha comisión.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Los criterios generales de </w:t>
      </w:r>
      <w:r w:rsidR="00500838">
        <w:rPr>
          <w:b/>
          <w:bCs/>
          <w:sz w:val="22"/>
          <w:szCs w:val="22"/>
        </w:rPr>
        <w:t>análisis</w:t>
      </w:r>
      <w:r>
        <w:rPr>
          <w:b/>
          <w:bCs/>
          <w:sz w:val="22"/>
          <w:szCs w:val="22"/>
        </w:rPr>
        <w:t xml:space="preserve"> serán los siguientes: </w:t>
      </w:r>
    </w:p>
    <w:p w:rsidR="00C64CFD" w:rsidRDefault="00C64CFD" w:rsidP="00C64CFD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a) Nota </w:t>
      </w:r>
      <w:r w:rsidR="00500838">
        <w:rPr>
          <w:sz w:val="22"/>
          <w:szCs w:val="22"/>
        </w:rPr>
        <w:t>promedio</w:t>
      </w:r>
      <w:r>
        <w:rPr>
          <w:sz w:val="22"/>
          <w:szCs w:val="22"/>
        </w:rPr>
        <w:t xml:space="preserve"> de los estudios de grado y de posgrado, hasta 4 puntos. </w:t>
      </w:r>
    </w:p>
    <w:p w:rsidR="00C64CFD" w:rsidRDefault="00C64CFD" w:rsidP="00C64CFD">
      <w:pPr>
        <w:pStyle w:val="Default"/>
        <w:spacing w:after="34"/>
        <w:rPr>
          <w:sz w:val="22"/>
          <w:szCs w:val="22"/>
        </w:rPr>
      </w:pPr>
      <w:r>
        <w:rPr>
          <w:sz w:val="22"/>
          <w:szCs w:val="22"/>
        </w:rPr>
        <w:t xml:space="preserve">b) Publicaciones, comunicaciones a congresos y otros méritos científicos del solicitante derivados de la realización de la tesis doctoral, hasta 4 puntos, valorando la posición que la persona solicitante ocupa en la relación de autores y el carácter internacional de la contribución. </w:t>
      </w:r>
    </w:p>
    <w:p w:rsidR="00C64CFD" w:rsidRDefault="00C64CFD" w:rsidP="00C64C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c) Antigüedad en el desarrollo de la tesis (años matriculado en tutela académica). 0,5 puntos </w:t>
      </w:r>
    </w:p>
    <w:p w:rsidR="00E6437E" w:rsidRPr="00E6437E" w:rsidRDefault="00E6437E" w:rsidP="00E6437E">
      <w:pPr>
        <w:pStyle w:val="Default"/>
        <w:rPr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por año, hasta 1,5 puntos. </w:t>
      </w:r>
    </w:p>
    <w:p w:rsidR="00E6437E" w:rsidRDefault="00E6437E" w:rsidP="00E6437E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d) Interés estratégico para la </w:t>
      </w:r>
      <w:r w:rsidRPr="00500838">
        <w:rPr>
          <w:rFonts w:cstheme="minorBidi"/>
          <w:color w:val="auto"/>
          <w:sz w:val="22"/>
          <w:szCs w:val="22"/>
        </w:rPr>
        <w:t>red</w:t>
      </w:r>
      <w:r>
        <w:rPr>
          <w:rFonts w:cstheme="minorBidi"/>
          <w:color w:val="auto"/>
          <w:sz w:val="22"/>
          <w:szCs w:val="22"/>
        </w:rPr>
        <w:t xml:space="preserve">. Hasta 2 puntos. </w:t>
      </w:r>
    </w:p>
    <w:p w:rsidR="00E6437E" w:rsidRDefault="00E6437E" w:rsidP="00E6437E">
      <w:pPr>
        <w:pStyle w:val="Default"/>
        <w:rPr>
          <w:rFonts w:cstheme="minorBidi"/>
          <w:color w:val="auto"/>
          <w:sz w:val="22"/>
          <w:szCs w:val="22"/>
        </w:rPr>
      </w:pPr>
    </w:p>
    <w:p w:rsidR="00E6437E" w:rsidRDefault="00E6437E" w:rsidP="00E6437E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La Comisión de Valoración queda facultada para el establecimiento de criterios concretos en aquellos criterios generales en los que proceda. </w:t>
      </w:r>
    </w:p>
    <w:p w:rsidR="00E6437E" w:rsidRDefault="00E6437E" w:rsidP="00E6437E">
      <w:pPr>
        <w:pStyle w:val="Default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La Comisión de Valoración, una vez </w:t>
      </w:r>
      <w:r w:rsidR="00500838">
        <w:rPr>
          <w:rFonts w:cstheme="minorBidi"/>
          <w:color w:val="auto"/>
          <w:sz w:val="22"/>
          <w:szCs w:val="22"/>
        </w:rPr>
        <w:t>analizadas</w:t>
      </w:r>
      <w:r>
        <w:rPr>
          <w:rFonts w:cstheme="minorBidi"/>
          <w:color w:val="auto"/>
          <w:sz w:val="22"/>
          <w:szCs w:val="22"/>
        </w:rPr>
        <w:t xml:space="preserve"> las solicitudes, informará de la misma a las personas solicitantes en el plazo máximo de 15 días </w:t>
      </w:r>
      <w:r w:rsidR="00500838" w:rsidRPr="00500838">
        <w:rPr>
          <w:rFonts w:cstheme="minorBidi"/>
          <w:color w:val="auto"/>
          <w:sz w:val="22"/>
          <w:szCs w:val="22"/>
        </w:rPr>
        <w:t>corridos</w:t>
      </w:r>
      <w:r>
        <w:rPr>
          <w:rFonts w:cstheme="minorBidi"/>
          <w:color w:val="auto"/>
          <w:sz w:val="22"/>
          <w:szCs w:val="22"/>
        </w:rPr>
        <w:t>desde la finalización del plazo de presentación de solicitudes, abriéndose un plazo de tres días hábiles para la presentación de reclam</w:t>
      </w:r>
      <w:r w:rsidR="0074329A">
        <w:rPr>
          <w:rFonts w:cstheme="minorBidi"/>
          <w:color w:val="auto"/>
          <w:sz w:val="22"/>
          <w:szCs w:val="22"/>
        </w:rPr>
        <w:t>os</w:t>
      </w:r>
      <w:r>
        <w:rPr>
          <w:rFonts w:cstheme="minorBidi"/>
          <w:color w:val="auto"/>
          <w:sz w:val="22"/>
          <w:szCs w:val="22"/>
        </w:rPr>
        <w:t xml:space="preserve">. Una vez estudiadas </w:t>
      </w:r>
      <w:r w:rsidR="0074329A">
        <w:rPr>
          <w:rFonts w:cstheme="minorBidi"/>
          <w:color w:val="auto"/>
          <w:sz w:val="22"/>
          <w:szCs w:val="22"/>
        </w:rPr>
        <w:t>é</w:t>
      </w:r>
      <w:r>
        <w:rPr>
          <w:rFonts w:cstheme="minorBidi"/>
          <w:color w:val="auto"/>
          <w:sz w:val="22"/>
          <w:szCs w:val="22"/>
        </w:rPr>
        <w:t>st</w:t>
      </w:r>
      <w:r w:rsidR="0074329A">
        <w:rPr>
          <w:rFonts w:cstheme="minorBidi"/>
          <w:color w:val="auto"/>
          <w:sz w:val="22"/>
          <w:szCs w:val="22"/>
        </w:rPr>
        <w:t>o</w:t>
      </w:r>
      <w:r>
        <w:rPr>
          <w:rFonts w:cstheme="minorBidi"/>
          <w:color w:val="auto"/>
          <w:sz w:val="22"/>
          <w:szCs w:val="22"/>
        </w:rPr>
        <w:t xml:space="preserve">s, la Comisión de Valoración comunicará la concesión de las movilidades. </w:t>
      </w:r>
    </w:p>
    <w:p w:rsidR="00E6437E" w:rsidRDefault="00E6437E" w:rsidP="00E6437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Obligaciones de los beneficiarios </w:t>
      </w:r>
    </w:p>
    <w:p w:rsidR="00E6437E" w:rsidRDefault="00E6437E" w:rsidP="00E6437E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Cumplir el plan de trabajo establecido. </w:t>
      </w:r>
    </w:p>
    <w:p w:rsidR="00E6437E" w:rsidRDefault="00E6437E" w:rsidP="00E6437E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Cumplimentar toda la documentación requerida en relación a la movilidad. </w:t>
      </w:r>
    </w:p>
    <w:p w:rsidR="00E6437E" w:rsidRDefault="00E6437E" w:rsidP="00E6437E">
      <w:pPr>
        <w:pStyle w:val="Default"/>
        <w:spacing w:after="3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</w:t>
      </w:r>
      <w:r w:rsidR="0074329A">
        <w:rPr>
          <w:color w:val="auto"/>
          <w:sz w:val="22"/>
          <w:szCs w:val="22"/>
        </w:rPr>
        <w:t xml:space="preserve">Entregar un Informe </w:t>
      </w:r>
      <w:r>
        <w:rPr>
          <w:color w:val="auto"/>
          <w:sz w:val="22"/>
          <w:szCs w:val="22"/>
        </w:rPr>
        <w:t xml:space="preserve">de la actividad realizada. </w:t>
      </w:r>
    </w:p>
    <w:p w:rsidR="00E6437E" w:rsidRDefault="00E6437E" w:rsidP="00E643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Justificar la ayuda recibida en los términos señalados en esta convocatoria. </w:t>
      </w:r>
    </w:p>
    <w:p w:rsidR="00E6437E" w:rsidRDefault="00E6437E" w:rsidP="00E6437E">
      <w:pPr>
        <w:pStyle w:val="Default"/>
        <w:rPr>
          <w:color w:val="auto"/>
          <w:sz w:val="22"/>
          <w:szCs w:val="22"/>
        </w:rPr>
      </w:pPr>
    </w:p>
    <w:p w:rsidR="00E6437E" w:rsidRDefault="00E6437E" w:rsidP="00E6437E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9. Justificación de la ayuda </w:t>
      </w:r>
    </w:p>
    <w:p w:rsidR="00E6437E" w:rsidRDefault="00E6437E" w:rsidP="00E643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Cada Beneficiario/a deberá presentar, según la NORMATIVA PARA LA CONCESIÓN DE AYUDAS EN EL MARCO DEL PROGRAMA IBEROAMERICANO DE MOVILIDAD DE JÓVENES INVESTIGADORES PABLO NERUDA EDICIÓN 2013-2014: </w:t>
      </w:r>
    </w:p>
    <w:p w:rsidR="00E6437E" w:rsidRDefault="00E6437E" w:rsidP="00E6437E">
      <w:pPr>
        <w:pStyle w:val="Default"/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a) Recibo firmado por los estudiantes y profesores visitantes por la cantidad correspondiente a la ayuda de estancia recibida. </w:t>
      </w:r>
    </w:p>
    <w:p w:rsidR="00E6437E" w:rsidRDefault="00E6437E" w:rsidP="00E6437E">
      <w:pPr>
        <w:pStyle w:val="Default"/>
        <w:spacing w:after="4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Recibo firmado por los estudiantes y profesores de la universidad enviados a otras instituciones por la cantidad correspondiente a la ayuda de viaje recibida. </w:t>
      </w:r>
    </w:p>
    <w:p w:rsidR="00E6437E" w:rsidRDefault="00E6437E" w:rsidP="00E643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Copia del pasaje y de las tarjetas de embarque de los estudiantes y profesores de la universidad enviados a otras instituciones. </w:t>
      </w:r>
    </w:p>
    <w:p w:rsidR="00E6437E" w:rsidRDefault="00E6437E" w:rsidP="00E6437E">
      <w:pPr>
        <w:pStyle w:val="Default"/>
        <w:rPr>
          <w:color w:val="auto"/>
          <w:sz w:val="22"/>
          <w:szCs w:val="22"/>
        </w:rPr>
      </w:pPr>
    </w:p>
    <w:p w:rsidR="00E6437E" w:rsidRPr="00B24966" w:rsidRDefault="00E6437E" w:rsidP="00E6437E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La documentación indicada deberá presentarse </w:t>
      </w:r>
      <w:r w:rsidR="00210D07" w:rsidRPr="00B24966">
        <w:rPr>
          <w:color w:val="auto"/>
          <w:sz w:val="22"/>
          <w:szCs w:val="22"/>
        </w:rPr>
        <w:t xml:space="preserve">en </w:t>
      </w:r>
      <w:r w:rsidR="00791829" w:rsidRPr="00B24966">
        <w:rPr>
          <w:b/>
          <w:color w:val="auto"/>
          <w:sz w:val="22"/>
          <w:szCs w:val="22"/>
        </w:rPr>
        <w:t xml:space="preserve">el Área de Relaciones Internacionales </w:t>
      </w:r>
      <w:r w:rsidR="00D44FF0" w:rsidRPr="00B24966">
        <w:rPr>
          <w:b/>
          <w:color w:val="auto"/>
          <w:sz w:val="22"/>
          <w:szCs w:val="22"/>
        </w:rPr>
        <w:t>UN</w:t>
      </w:r>
      <w:r w:rsidR="00406A1F" w:rsidRPr="00B24966">
        <w:rPr>
          <w:b/>
          <w:color w:val="auto"/>
          <w:sz w:val="22"/>
          <w:szCs w:val="22"/>
        </w:rPr>
        <w:t>CPBA</w:t>
      </w:r>
      <w:r w:rsidR="00791829" w:rsidRPr="00B24966">
        <w:rPr>
          <w:b/>
          <w:color w:val="auto"/>
          <w:sz w:val="22"/>
          <w:szCs w:val="22"/>
        </w:rPr>
        <w:t xml:space="preserve"> – Gral. Pinto 399 2º Piso Oficina 223.</w:t>
      </w:r>
      <w:r w:rsidR="00530DD9" w:rsidRPr="00B24966">
        <w:rPr>
          <w:b/>
          <w:color w:val="auto"/>
          <w:sz w:val="22"/>
          <w:szCs w:val="22"/>
        </w:rPr>
        <w:t xml:space="preserve"> </w:t>
      </w:r>
    </w:p>
    <w:p w:rsidR="00E6437E" w:rsidRDefault="00E6437E" w:rsidP="00E6437E">
      <w:pPr>
        <w:pStyle w:val="Default"/>
        <w:rPr>
          <w:color w:val="auto"/>
          <w:sz w:val="22"/>
          <w:szCs w:val="22"/>
        </w:rPr>
      </w:pPr>
      <w:r w:rsidRPr="00B24966">
        <w:rPr>
          <w:b/>
          <w:bCs/>
          <w:color w:val="auto"/>
          <w:sz w:val="22"/>
          <w:szCs w:val="22"/>
        </w:rPr>
        <w:t>10. Régimen normativo de la convocatoria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E6437E" w:rsidRDefault="00E6437E" w:rsidP="00E6437E">
      <w:pPr>
        <w:pStyle w:val="Default"/>
        <w:spacing w:after="44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La presente convocatoria de ayudas se realiza en régimen de concurrencia competitiva, y se encuentra sometida a la normativa establecida por la Red "Agroalimentación, Producción y Sanidad Animal" (REDAPSA</w:t>
      </w:r>
      <w:r w:rsidR="00976D06">
        <w:rPr>
          <w:color w:val="auto"/>
          <w:sz w:val="22"/>
          <w:szCs w:val="22"/>
        </w:rPr>
        <w:t xml:space="preserve">). </w:t>
      </w:r>
      <w:r w:rsidR="00406A1F" w:rsidRPr="00C90DB6">
        <w:rPr>
          <w:rStyle w:val="cf1"/>
          <w:rFonts w:cs="Arial"/>
          <w:b/>
          <w:bCs/>
          <w:sz w:val="22"/>
          <w:szCs w:val="22"/>
          <w:bdr w:val="none" w:sz="0" w:space="0" w:color="auto" w:frame="1"/>
        </w:rPr>
        <w:t>El link con toda la información necesaria para participar en la convocatoria es el siguiente:</w:t>
      </w:r>
      <w:r w:rsidR="00B24966" w:rsidRPr="00C90DB6">
        <w:rPr>
          <w:b/>
          <w:color w:val="auto"/>
          <w:sz w:val="22"/>
          <w:szCs w:val="22"/>
        </w:rPr>
        <w:t xml:space="preserve"> </w:t>
      </w:r>
      <w:hyperlink r:id="rId8" w:history="1">
        <w:r w:rsidR="00C90DB6" w:rsidRPr="005D60AD">
          <w:rPr>
            <w:rStyle w:val="Hipervnculo"/>
            <w:b/>
            <w:sz w:val="22"/>
            <w:szCs w:val="22"/>
          </w:rPr>
          <w:t>http://www.ceia3.es/redapsa</w:t>
        </w:r>
      </w:hyperlink>
    </w:p>
    <w:p w:rsidR="00C90DB6" w:rsidRDefault="00C90DB6" w:rsidP="00E6437E">
      <w:pPr>
        <w:pStyle w:val="Default"/>
        <w:spacing w:after="44"/>
        <w:rPr>
          <w:color w:val="auto"/>
          <w:sz w:val="22"/>
          <w:szCs w:val="22"/>
        </w:rPr>
      </w:pPr>
    </w:p>
    <w:p w:rsidR="00B24966" w:rsidRDefault="00E6437E" w:rsidP="00B24966">
      <w:pPr>
        <w:pStyle w:val="Default"/>
        <w:spacing w:after="44"/>
        <w:rPr>
          <w:color w:val="auto"/>
          <w:sz w:val="22"/>
          <w:szCs w:val="22"/>
        </w:rPr>
      </w:pPr>
      <w:r w:rsidRPr="00210D07">
        <w:rPr>
          <w:color w:val="auto"/>
          <w:sz w:val="22"/>
          <w:szCs w:val="22"/>
        </w:rPr>
        <w:lastRenderedPageBreak/>
        <w:t>b) La publicación de los actos de trámite relativos a la presente convocatoria, incluyendo los listados de admitidos/excluidos y seleccionados, se realizará en la sección de</w:t>
      </w:r>
      <w:r w:rsidR="00F51108">
        <w:rPr>
          <w:color w:val="auto"/>
          <w:sz w:val="22"/>
          <w:szCs w:val="22"/>
        </w:rPr>
        <w:t>:</w:t>
      </w:r>
      <w:r w:rsidRPr="00210D07">
        <w:rPr>
          <w:color w:val="auto"/>
          <w:sz w:val="22"/>
          <w:szCs w:val="22"/>
        </w:rPr>
        <w:t xml:space="preserve"> Internacionalización/Movilidad Internacional de la página web del ceiA3: </w:t>
      </w:r>
      <w:hyperlink r:id="rId9" w:history="1">
        <w:r w:rsidR="00B24966" w:rsidRPr="00C90DB6">
          <w:rPr>
            <w:rStyle w:val="Hipervnculo"/>
            <w:sz w:val="22"/>
            <w:szCs w:val="22"/>
          </w:rPr>
          <w:t>http://www.ceia3.es/internacional/movilidad/6737-programa-pablo-neruda-ii</w:t>
        </w:r>
      </w:hyperlink>
    </w:p>
    <w:p w:rsidR="00B24966" w:rsidRPr="00504FD2" w:rsidRDefault="00E6437E" w:rsidP="00B24966">
      <w:pPr>
        <w:pStyle w:val="Default"/>
        <w:spacing w:after="44"/>
        <w:rPr>
          <w:color w:val="auto"/>
          <w:sz w:val="22"/>
          <w:szCs w:val="22"/>
          <w:lang w:val="es-AR"/>
        </w:rPr>
      </w:pPr>
      <w:r w:rsidRPr="00210D07">
        <w:rPr>
          <w:color w:val="auto"/>
          <w:sz w:val="22"/>
          <w:szCs w:val="22"/>
        </w:rPr>
        <w:t xml:space="preserve"> </w:t>
      </w:r>
      <w:r w:rsidR="00B24966" w:rsidRPr="00B24966">
        <w:rPr>
          <w:color w:val="auto"/>
          <w:sz w:val="22"/>
          <w:szCs w:val="22"/>
          <w:lang w:val="es-AR"/>
        </w:rPr>
        <w:t xml:space="preserve">c) </w:t>
      </w:r>
      <w:r w:rsidR="00B24966" w:rsidRPr="00504FD2">
        <w:rPr>
          <w:color w:val="auto"/>
          <w:sz w:val="22"/>
          <w:szCs w:val="22"/>
          <w:lang w:val="es-AR"/>
        </w:rPr>
        <w:t>Dicha publicación servirá de notificación a los interesados, de acuerdo a la Resolución SPU N° 2408/13 –PIESCI Ministerio de Educación- relativa a la transferencia de fondos a las Universidades Nacionales participantes del Programa Pablo Neruda a fin de financiar el segundo período de ejecución de las Redes aprobadas, las condiciones de financiamiento de las acciones tipo 'C' y las movilidades de los países prioritarios</w:t>
      </w:r>
    </w:p>
    <w:p w:rsidR="00E6437E" w:rsidRPr="00B24966" w:rsidRDefault="00E6437E" w:rsidP="00B24966">
      <w:pPr>
        <w:pStyle w:val="Default"/>
        <w:spacing w:after="44"/>
        <w:rPr>
          <w:color w:val="auto"/>
          <w:sz w:val="22"/>
          <w:szCs w:val="22"/>
        </w:rPr>
      </w:pPr>
      <w:r w:rsidRPr="00504FD2">
        <w:rPr>
          <w:sz w:val="22"/>
          <w:szCs w:val="22"/>
        </w:rPr>
        <w:t>d) La presentación de la correspondiente solicitud supondrá la aceptación expresa</w:t>
      </w:r>
      <w:r>
        <w:rPr>
          <w:sz w:val="22"/>
          <w:szCs w:val="22"/>
        </w:rPr>
        <w:t xml:space="preserve"> de las bases de la presente convocatoria. </w:t>
      </w:r>
    </w:p>
    <w:p w:rsidR="001864DF" w:rsidRDefault="001864DF" w:rsidP="00E6437E">
      <w:pPr>
        <w:pStyle w:val="Default"/>
        <w:rPr>
          <w:sz w:val="22"/>
          <w:szCs w:val="22"/>
        </w:rPr>
      </w:pPr>
    </w:p>
    <w:p w:rsidR="001864DF" w:rsidRPr="00C90DB6" w:rsidRDefault="00275DFF" w:rsidP="00E6437E">
      <w:pPr>
        <w:pStyle w:val="Default"/>
        <w:rPr>
          <w:b/>
          <w:sz w:val="22"/>
          <w:szCs w:val="22"/>
          <w:lang w:val="en-US"/>
        </w:rPr>
      </w:pPr>
      <w:hyperlink r:id="rId10" w:history="1">
        <w:r w:rsidR="00954075" w:rsidRPr="00275DFF">
          <w:rPr>
            <w:rStyle w:val="Hipervnculo"/>
            <w:b/>
            <w:sz w:val="22"/>
            <w:szCs w:val="22"/>
            <w:lang w:val="en-US"/>
          </w:rPr>
          <w:t>ANEXO I</w:t>
        </w:r>
      </w:hyperlink>
    </w:p>
    <w:p w:rsidR="00954075" w:rsidRPr="00C90DB6" w:rsidRDefault="00275DFF" w:rsidP="00E6437E">
      <w:pPr>
        <w:pStyle w:val="Default"/>
        <w:rPr>
          <w:b/>
          <w:sz w:val="22"/>
          <w:szCs w:val="22"/>
          <w:lang w:val="en-US"/>
        </w:rPr>
      </w:pPr>
      <w:hyperlink r:id="rId11" w:history="1">
        <w:r w:rsidR="00954075" w:rsidRPr="00275DFF">
          <w:rPr>
            <w:rStyle w:val="Hipervnculo"/>
            <w:b/>
            <w:sz w:val="22"/>
            <w:szCs w:val="22"/>
            <w:lang w:val="en-US"/>
          </w:rPr>
          <w:t>ANEXO II</w:t>
        </w:r>
      </w:hyperlink>
    </w:p>
    <w:p w:rsidR="00954075" w:rsidRPr="00C90DB6" w:rsidRDefault="00275DFF" w:rsidP="00E6437E">
      <w:pPr>
        <w:pStyle w:val="Default"/>
        <w:rPr>
          <w:b/>
          <w:sz w:val="22"/>
          <w:szCs w:val="22"/>
          <w:lang w:val="en-US"/>
        </w:rPr>
      </w:pPr>
      <w:hyperlink r:id="rId12" w:history="1">
        <w:r w:rsidR="00954075" w:rsidRPr="00275DFF">
          <w:rPr>
            <w:rStyle w:val="Hipervnculo"/>
            <w:b/>
            <w:sz w:val="22"/>
            <w:szCs w:val="22"/>
            <w:lang w:val="en-US"/>
          </w:rPr>
          <w:t>ANEXO III</w:t>
        </w:r>
      </w:hyperlink>
    </w:p>
    <w:p w:rsidR="001864DF" w:rsidRPr="00C90DB6" w:rsidRDefault="001864DF" w:rsidP="000F3F5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</w:p>
    <w:p w:rsidR="00F9024A" w:rsidRPr="00C90DB6" w:rsidRDefault="00F9024A" w:rsidP="00E6437E">
      <w:pPr>
        <w:pStyle w:val="Default"/>
        <w:rPr>
          <w:sz w:val="22"/>
          <w:szCs w:val="22"/>
          <w:lang w:val="en-US"/>
        </w:rPr>
      </w:pPr>
    </w:p>
    <w:p w:rsidR="00F9024A" w:rsidRPr="00C90DB6" w:rsidRDefault="00F9024A" w:rsidP="00F9024A">
      <w:pPr>
        <w:rPr>
          <w:lang w:val="en-US"/>
        </w:rPr>
      </w:pPr>
    </w:p>
    <w:p w:rsidR="00F9024A" w:rsidRPr="00C90DB6" w:rsidRDefault="00F9024A" w:rsidP="00F9024A">
      <w:pPr>
        <w:rPr>
          <w:lang w:val="en-US"/>
        </w:rPr>
      </w:pPr>
    </w:p>
    <w:p w:rsidR="00F9024A" w:rsidRPr="00C90DB6" w:rsidRDefault="00F9024A" w:rsidP="00F9024A">
      <w:pPr>
        <w:rPr>
          <w:lang w:val="en-US"/>
        </w:rPr>
      </w:pPr>
    </w:p>
    <w:p w:rsidR="00F9024A" w:rsidRPr="00C90DB6" w:rsidRDefault="00F9024A" w:rsidP="00F9024A">
      <w:pPr>
        <w:rPr>
          <w:lang w:val="en-US"/>
        </w:rPr>
      </w:pPr>
    </w:p>
    <w:p w:rsidR="00F9024A" w:rsidRPr="00C90DB6" w:rsidRDefault="00F9024A" w:rsidP="00F9024A">
      <w:pPr>
        <w:rPr>
          <w:lang w:val="en-US"/>
        </w:rPr>
      </w:pPr>
    </w:p>
    <w:p w:rsidR="00F9024A" w:rsidRPr="00C90DB6" w:rsidRDefault="00F9024A" w:rsidP="00F9024A">
      <w:pPr>
        <w:rPr>
          <w:lang w:val="en-US"/>
        </w:rPr>
      </w:pPr>
    </w:p>
    <w:p w:rsidR="00F9024A" w:rsidRPr="00C90DB6" w:rsidRDefault="00F9024A" w:rsidP="00F9024A">
      <w:pPr>
        <w:rPr>
          <w:lang w:val="en-US"/>
        </w:rPr>
      </w:pPr>
    </w:p>
    <w:p w:rsidR="00F9024A" w:rsidRPr="00C90DB6" w:rsidRDefault="00F9024A" w:rsidP="00F9024A">
      <w:pPr>
        <w:rPr>
          <w:lang w:val="en-US"/>
        </w:rPr>
      </w:pPr>
    </w:p>
    <w:p w:rsidR="001864DF" w:rsidRPr="00C90DB6" w:rsidRDefault="001864DF" w:rsidP="00F9024A">
      <w:pPr>
        <w:rPr>
          <w:lang w:val="en-US"/>
        </w:rPr>
      </w:pPr>
    </w:p>
    <w:sectPr w:rsidR="001864DF" w:rsidRPr="00C90DB6" w:rsidSect="00E51692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14C" w:rsidRDefault="005B714C" w:rsidP="00976D06">
      <w:pPr>
        <w:spacing w:after="0" w:line="240" w:lineRule="auto"/>
      </w:pPr>
      <w:r>
        <w:separator/>
      </w:r>
    </w:p>
  </w:endnote>
  <w:endnote w:type="continuationSeparator" w:id="1">
    <w:p w:rsidR="005B714C" w:rsidRDefault="005B714C" w:rsidP="00976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14C" w:rsidRDefault="005B714C" w:rsidP="00976D06">
      <w:pPr>
        <w:spacing w:after="0" w:line="240" w:lineRule="auto"/>
      </w:pPr>
      <w:r>
        <w:separator/>
      </w:r>
    </w:p>
  </w:footnote>
  <w:footnote w:type="continuationSeparator" w:id="1">
    <w:p w:rsidR="005B714C" w:rsidRDefault="005B714C" w:rsidP="00976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06" w:rsidRDefault="00976D06">
    <w:pPr>
      <w:pStyle w:val="Encabezado"/>
    </w:pPr>
    <w:r w:rsidRPr="00A028DB"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1572895</wp:posOffset>
          </wp:positionH>
          <wp:positionV relativeFrom="paragraph">
            <wp:posOffset>-175837</wp:posOffset>
          </wp:positionV>
          <wp:extent cx="2049482" cy="526472"/>
          <wp:effectExtent l="0" t="0" r="0" b="0"/>
          <wp:wrapNone/>
          <wp:docPr id="4" name="Imagen 4" descr="C:\Users\internacional-ceiaA3\Documents\CEIA3 nines2013\Pablo Neruda\Logos Pablo Neruda\neruda_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internacional-ceiaA3\Documents\CEIA3 nines2013\Pablo Neruda\Logos Pablo Neruda\neruda_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482" cy="526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CFD"/>
    <w:rsid w:val="000365FF"/>
    <w:rsid w:val="00072C17"/>
    <w:rsid w:val="000F3F5E"/>
    <w:rsid w:val="00154007"/>
    <w:rsid w:val="001864DF"/>
    <w:rsid w:val="00210D07"/>
    <w:rsid w:val="002140E9"/>
    <w:rsid w:val="00275DFF"/>
    <w:rsid w:val="002A5388"/>
    <w:rsid w:val="00336D8C"/>
    <w:rsid w:val="00394DDB"/>
    <w:rsid w:val="003D0DBC"/>
    <w:rsid w:val="00406A1F"/>
    <w:rsid w:val="00413E1E"/>
    <w:rsid w:val="004225D3"/>
    <w:rsid w:val="004520C3"/>
    <w:rsid w:val="00500838"/>
    <w:rsid w:val="00504FD2"/>
    <w:rsid w:val="00530DD9"/>
    <w:rsid w:val="005B714C"/>
    <w:rsid w:val="005D3237"/>
    <w:rsid w:val="006A632B"/>
    <w:rsid w:val="006C247B"/>
    <w:rsid w:val="006F33A7"/>
    <w:rsid w:val="00707A26"/>
    <w:rsid w:val="00710F76"/>
    <w:rsid w:val="0074329A"/>
    <w:rsid w:val="00783CEF"/>
    <w:rsid w:val="00791829"/>
    <w:rsid w:val="00881BB7"/>
    <w:rsid w:val="0089794A"/>
    <w:rsid w:val="008A3A40"/>
    <w:rsid w:val="00954075"/>
    <w:rsid w:val="00976D06"/>
    <w:rsid w:val="009D4369"/>
    <w:rsid w:val="00A1708E"/>
    <w:rsid w:val="00AE77CA"/>
    <w:rsid w:val="00B24966"/>
    <w:rsid w:val="00B71A64"/>
    <w:rsid w:val="00C234E2"/>
    <w:rsid w:val="00C64CFD"/>
    <w:rsid w:val="00C80ED7"/>
    <w:rsid w:val="00C90DB6"/>
    <w:rsid w:val="00CC1C52"/>
    <w:rsid w:val="00D23E8D"/>
    <w:rsid w:val="00D44FF0"/>
    <w:rsid w:val="00D61032"/>
    <w:rsid w:val="00D91260"/>
    <w:rsid w:val="00E51692"/>
    <w:rsid w:val="00E6437E"/>
    <w:rsid w:val="00F21509"/>
    <w:rsid w:val="00F51108"/>
    <w:rsid w:val="00F9024A"/>
    <w:rsid w:val="00FA0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4CF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apple-converted-space">
    <w:name w:val="apple-converted-space"/>
    <w:basedOn w:val="Fuentedeprrafopredeter"/>
    <w:rsid w:val="00791829"/>
  </w:style>
  <w:style w:type="character" w:styleId="Hipervnculo">
    <w:name w:val="Hyperlink"/>
    <w:basedOn w:val="Fuentedeprrafopredeter"/>
    <w:uiPriority w:val="99"/>
    <w:unhideWhenUsed/>
    <w:rsid w:val="00791829"/>
    <w:rPr>
      <w:color w:val="0000FF"/>
      <w:u w:val="single"/>
    </w:rPr>
  </w:style>
  <w:style w:type="character" w:customStyle="1" w:styleId="cf1">
    <w:name w:val="cf1"/>
    <w:basedOn w:val="Fuentedeprrafopredeter"/>
    <w:rsid w:val="00406A1F"/>
  </w:style>
  <w:style w:type="character" w:customStyle="1" w:styleId="imul">
    <w:name w:val="imul"/>
    <w:basedOn w:val="Fuentedeprrafopredeter"/>
    <w:rsid w:val="00406A1F"/>
  </w:style>
  <w:style w:type="character" w:customStyle="1" w:styleId="moz-txt-tag">
    <w:name w:val="moz-txt-tag"/>
    <w:basedOn w:val="Fuentedeprrafopredeter"/>
    <w:rsid w:val="001864DF"/>
  </w:style>
  <w:style w:type="table" w:customStyle="1" w:styleId="TableNormal">
    <w:name w:val="Table Normal"/>
    <w:uiPriority w:val="2"/>
    <w:semiHidden/>
    <w:unhideWhenUsed/>
    <w:qFormat/>
    <w:rsid w:val="00F902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6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D06"/>
  </w:style>
  <w:style w:type="paragraph" w:styleId="Piedepgina">
    <w:name w:val="footer"/>
    <w:basedOn w:val="Normal"/>
    <w:link w:val="PiedepginaCar"/>
    <w:uiPriority w:val="99"/>
    <w:unhideWhenUsed/>
    <w:rsid w:val="00976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D06"/>
  </w:style>
  <w:style w:type="character" w:styleId="Hipervnculovisitado">
    <w:name w:val="FollowedHyperlink"/>
    <w:basedOn w:val="Fuentedeprrafopredeter"/>
    <w:uiPriority w:val="99"/>
    <w:semiHidden/>
    <w:unhideWhenUsed/>
    <w:rsid w:val="00C90DB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4CFD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9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apple-converted-space">
    <w:name w:val="apple-converted-space"/>
    <w:basedOn w:val="Fuentedeprrafopredeter"/>
    <w:rsid w:val="00791829"/>
  </w:style>
  <w:style w:type="character" w:styleId="Hipervnculo">
    <w:name w:val="Hyperlink"/>
    <w:basedOn w:val="Fuentedeprrafopredeter"/>
    <w:uiPriority w:val="99"/>
    <w:unhideWhenUsed/>
    <w:rsid w:val="00791829"/>
    <w:rPr>
      <w:color w:val="0000FF"/>
      <w:u w:val="single"/>
    </w:rPr>
  </w:style>
  <w:style w:type="character" w:customStyle="1" w:styleId="cf1">
    <w:name w:val="cf1"/>
    <w:basedOn w:val="Fuentedeprrafopredeter"/>
    <w:rsid w:val="00406A1F"/>
  </w:style>
  <w:style w:type="character" w:customStyle="1" w:styleId="imul">
    <w:name w:val="imul"/>
    <w:basedOn w:val="Fuentedeprrafopredeter"/>
    <w:rsid w:val="00406A1F"/>
  </w:style>
  <w:style w:type="character" w:customStyle="1" w:styleId="moz-txt-tag">
    <w:name w:val="moz-txt-tag"/>
    <w:basedOn w:val="Fuentedeprrafopredeter"/>
    <w:rsid w:val="001864DF"/>
  </w:style>
  <w:style w:type="table" w:customStyle="1" w:styleId="TableNormal">
    <w:name w:val="Table Normal"/>
    <w:uiPriority w:val="2"/>
    <w:semiHidden/>
    <w:unhideWhenUsed/>
    <w:qFormat/>
    <w:rsid w:val="00F9024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6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6D06"/>
  </w:style>
  <w:style w:type="paragraph" w:styleId="Piedepgina">
    <w:name w:val="footer"/>
    <w:basedOn w:val="Normal"/>
    <w:link w:val="PiedepginaCar"/>
    <w:uiPriority w:val="99"/>
    <w:unhideWhenUsed/>
    <w:rsid w:val="00976D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a3.es/redaps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vet.unicen.edu.ar/html/Doctorado08/DoctoradoBienvenida.html" TargetMode="External"/><Relationship Id="rId12" Type="http://schemas.openxmlformats.org/officeDocument/2006/relationships/hyperlink" Target="Anexo%20III%20PN%20II%20Movilidades%20Concedidas.pdf" TargetMode="Externa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nexo%20III%20PN%20II%20Movilidades%20Concedidas.pdf" TargetMode="External"/><Relationship Id="rId11" Type="http://schemas.openxmlformats.org/officeDocument/2006/relationships/hyperlink" Target="Anexo%20II%20programas%20participantes.docx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Anexo%20I%20Formulario%20solicitud%20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eia3.es/internacional/movilidad/6737-programa-pablo-neruda-i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1386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Bernardo</cp:lastModifiedBy>
  <cp:revision>3</cp:revision>
  <dcterms:created xsi:type="dcterms:W3CDTF">2014-04-11T12:39:00Z</dcterms:created>
  <dcterms:modified xsi:type="dcterms:W3CDTF">2014-04-11T12:55:00Z</dcterms:modified>
</cp:coreProperties>
</file>